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29" w:rsidRPr="00977929" w:rsidRDefault="00977929" w:rsidP="00977929">
      <w:pPr>
        <w:shd w:val="clear" w:color="auto" w:fill="EAE4DB"/>
        <w:spacing w:after="120" w:line="240" w:lineRule="auto"/>
        <w:rPr>
          <w:rFonts w:ascii="Verdana" w:eastAsia="Times New Roman" w:hAnsi="Verdana" w:cs="Times New Roman"/>
          <w:color w:val="006887"/>
          <w:sz w:val="19"/>
          <w:szCs w:val="19"/>
          <w:lang w:eastAsia="bg-BG"/>
        </w:rPr>
      </w:pPr>
      <w:hyperlink r:id="rId5" w:history="1">
        <w:r w:rsidRPr="00977929">
          <w:rPr>
            <w:rStyle w:val="Hyperlink"/>
            <w:rFonts w:ascii="Verdana" w:eastAsia="Times New Roman" w:hAnsi="Verdana" w:cs="Times New Roman"/>
            <w:b/>
            <w:bCs/>
            <w:sz w:val="16"/>
            <w:szCs w:val="16"/>
            <w:lang w:eastAsia="bg-BG"/>
          </w:rPr>
          <w:t>2567</w:t>
        </w:r>
        <w:r w:rsidRPr="00977929">
          <w:rPr>
            <w:rStyle w:val="Hyperlink"/>
            <w:rFonts w:ascii="Verdana" w:eastAsia="Times New Roman" w:hAnsi="Verdana" w:cs="Times New Roman"/>
            <w:sz w:val="19"/>
            <w:szCs w:val="19"/>
            <w:lang w:eastAsia="bg-BG"/>
          </w:rPr>
          <w:t> Издаване на удостоверение за вписване в базата данни на нов обект за съхранение на зърно</w:t>
        </w:r>
      </w:hyperlink>
      <w:bookmarkStart w:id="0" w:name="_GoBack"/>
      <w:bookmarkEnd w:id="0"/>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0000"/>
          <w:sz w:val="19"/>
          <w:szCs w:val="19"/>
          <w:lang w:eastAsia="bg-BG"/>
        </w:rPr>
        <w:br/>
        <w:t>Обектите за съхранение на зърно с вместимост над 200 тона се декларират от техните собственици или ползватели – физически или юридически лица в 7-дневен срок от въвеждането им в експлоатация или придобиването на право на собственост или право на ползване за вписване в регистъра по тяхното местонахождение. Областна дирекция "Земеделие" издава удостоверение на вписания с пореден номер в базата данни на Министерството на земеделието и храните обект за съхранение на зърно .</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Регистрация</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Стопанска дейност:</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Селско стопанство</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На основание на:</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Закон за прилагане на Общата организация на пазарите на земеделски продукти на Европейския съюз (Загл. изм. - ДВ, бр. 99 от 2013 г.) - чл. 58н, ал. 1</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Наредба № 23 от 29.12.2015 г. за условията и реда за мониторинг на пазара на зърно - чл. 6, ал. 2</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Услугата се предоставя и като вътрешно-административна:</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Не</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Срок за предоставяне:</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30 дни</w:t>
      </w:r>
    </w:p>
    <w:p w:rsidR="00977929" w:rsidRPr="00977929" w:rsidRDefault="00977929" w:rsidP="00977929">
      <w:pPr>
        <w:numPr>
          <w:ilvl w:val="0"/>
          <w:numId w:val="1"/>
        </w:numPr>
        <w:shd w:val="clear" w:color="auto" w:fill="EAE4DB"/>
        <w:spacing w:after="0" w:line="240" w:lineRule="auto"/>
        <w:ind w:left="120"/>
        <w:rPr>
          <w:rFonts w:ascii="Verdana" w:eastAsia="Times New Roman" w:hAnsi="Verdana" w:cs="Times New Roman"/>
          <w:color w:val="006887"/>
          <w:sz w:val="19"/>
          <w:szCs w:val="19"/>
          <w:lang w:eastAsia="bg-BG"/>
        </w:rPr>
      </w:pPr>
      <w:r w:rsidRPr="00977929">
        <w:rPr>
          <w:rFonts w:ascii="Verdana" w:eastAsia="Times New Roman" w:hAnsi="Verdana" w:cs="Times New Roman"/>
          <w:color w:val="006887"/>
          <w:sz w:val="19"/>
          <w:szCs w:val="19"/>
          <w:lang w:eastAsia="bg-BG"/>
        </w:rPr>
        <w:t>Срок на действие на документа/индивидуалния административен акт:</w:t>
      </w:r>
    </w:p>
    <w:p w:rsidR="00977929" w:rsidRPr="00977929" w:rsidRDefault="00977929" w:rsidP="00977929">
      <w:pPr>
        <w:numPr>
          <w:ilvl w:val="1"/>
          <w:numId w:val="1"/>
        </w:numPr>
        <w:shd w:val="clear" w:color="auto" w:fill="EAE4DB"/>
        <w:spacing w:after="0" w:line="240" w:lineRule="auto"/>
        <w:ind w:left="120"/>
        <w:rPr>
          <w:rFonts w:ascii="Verdana" w:eastAsia="Times New Roman" w:hAnsi="Verdana" w:cs="Times New Roman"/>
          <w:color w:val="000000"/>
          <w:sz w:val="19"/>
          <w:szCs w:val="19"/>
          <w:lang w:eastAsia="bg-BG"/>
        </w:rPr>
      </w:pPr>
    </w:p>
    <w:p w:rsidR="00977929" w:rsidRPr="00977929" w:rsidRDefault="00977929" w:rsidP="00977929">
      <w:pPr>
        <w:shd w:val="clear" w:color="auto" w:fill="EAE4DB"/>
        <w:spacing w:after="0" w:line="240" w:lineRule="auto"/>
        <w:rPr>
          <w:rFonts w:ascii="Verdana" w:eastAsia="Times New Roman" w:hAnsi="Verdana" w:cs="Times New Roman"/>
          <w:color w:val="000000"/>
          <w:sz w:val="19"/>
          <w:szCs w:val="19"/>
          <w:lang w:eastAsia="bg-BG"/>
        </w:rPr>
      </w:pPr>
      <w:hyperlink r:id="rId6" w:history="1">
        <w:r w:rsidRPr="00977929">
          <w:rPr>
            <w:rFonts w:ascii="Verdana" w:eastAsia="Times New Roman" w:hAnsi="Verdana" w:cs="Times New Roman"/>
            <w:color w:val="006887"/>
            <w:sz w:val="19"/>
            <w:szCs w:val="19"/>
            <w:u w:val="single"/>
            <w:bdr w:val="single" w:sz="6" w:space="4" w:color="CFC8BC" w:frame="1"/>
            <w:shd w:val="clear" w:color="auto" w:fill="F8F7F2"/>
            <w:lang w:eastAsia="bg-BG"/>
          </w:rPr>
          <w:t>Център за административно обслужване и/или звена, които контактуват с потребителите и предоставят административно обслужване</w:t>
        </w:r>
      </w:hyperlink>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b/>
          <w:bCs/>
          <w:color w:val="000000"/>
          <w:sz w:val="19"/>
          <w:szCs w:val="19"/>
          <w:lang w:eastAsia="bg-BG"/>
        </w:rPr>
        <w:t>Административни звена, в които се подават документите и се получава информация за хода на преписката:</w:t>
      </w:r>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Дирекция "Административно-правна, финансово-стопанска дейност и човешки ресурси"</w:t>
      </w:r>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color w:val="006887"/>
          <w:sz w:val="19"/>
          <w:szCs w:val="19"/>
          <w:lang w:eastAsia="bg-BG"/>
        </w:rPr>
        <w:t>Адрес:</w:t>
      </w:r>
      <w:r w:rsidRPr="00977929">
        <w:rPr>
          <w:rFonts w:ascii="Verdana" w:eastAsia="Times New Roman" w:hAnsi="Verdana" w:cs="Times New Roman"/>
          <w:color w:val="000000"/>
          <w:sz w:val="19"/>
          <w:szCs w:val="19"/>
          <w:lang w:eastAsia="bg-BG"/>
        </w:rPr>
        <w:t> обл. Ямбол, общ. Ямбол, гр. Ямбол, ул. "Жорж Папазов" 9. ет.5, п.к. 8600</w:t>
      </w:r>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6887"/>
          <w:sz w:val="19"/>
          <w:szCs w:val="19"/>
          <w:lang w:eastAsia="bg-BG"/>
        </w:rPr>
        <w:t>Код за междуселищно избиране:</w:t>
      </w:r>
      <w:r w:rsidRPr="00977929">
        <w:rPr>
          <w:rFonts w:ascii="Verdana" w:eastAsia="Times New Roman" w:hAnsi="Verdana" w:cs="Times New Roman"/>
          <w:color w:val="000000"/>
          <w:sz w:val="19"/>
          <w:szCs w:val="19"/>
          <w:lang w:eastAsia="bg-BG"/>
        </w:rPr>
        <w:t> 046</w:t>
      </w:r>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6887"/>
          <w:sz w:val="19"/>
          <w:szCs w:val="19"/>
          <w:lang w:eastAsia="bg-BG"/>
        </w:rPr>
        <w:t>Телефон за връзка:</w:t>
      </w:r>
      <w:r w:rsidRPr="00977929">
        <w:rPr>
          <w:rFonts w:ascii="Verdana" w:eastAsia="Times New Roman" w:hAnsi="Verdana" w:cs="Times New Roman"/>
          <w:color w:val="000000"/>
          <w:sz w:val="19"/>
          <w:szCs w:val="19"/>
          <w:lang w:eastAsia="bg-BG"/>
        </w:rPr>
        <w:t> (046)661854</w:t>
      </w:r>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6887"/>
          <w:sz w:val="19"/>
          <w:szCs w:val="19"/>
          <w:lang w:eastAsia="bg-BG"/>
        </w:rPr>
        <w:t>Факс:</w:t>
      </w:r>
      <w:r w:rsidRPr="00977929">
        <w:rPr>
          <w:rFonts w:ascii="Verdana" w:eastAsia="Times New Roman" w:hAnsi="Verdana" w:cs="Times New Roman"/>
          <w:color w:val="000000"/>
          <w:sz w:val="19"/>
          <w:szCs w:val="19"/>
          <w:lang w:eastAsia="bg-BG"/>
        </w:rPr>
        <w:t> (046)661854</w:t>
      </w:r>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6887"/>
          <w:sz w:val="19"/>
          <w:szCs w:val="19"/>
          <w:lang w:eastAsia="bg-BG"/>
        </w:rPr>
        <w:t>Адрес на електронна поща:</w:t>
      </w:r>
      <w:r w:rsidRPr="00977929">
        <w:rPr>
          <w:rFonts w:ascii="Verdana" w:eastAsia="Times New Roman" w:hAnsi="Verdana" w:cs="Times New Roman"/>
          <w:color w:val="000000"/>
          <w:sz w:val="19"/>
          <w:szCs w:val="19"/>
          <w:lang w:eastAsia="bg-BG"/>
        </w:rPr>
        <w:t> ODZG_Yambol@mzh.government.bg</w:t>
      </w:r>
      <w:r w:rsidRPr="00977929">
        <w:rPr>
          <w:rFonts w:ascii="Verdana" w:eastAsia="Times New Roman" w:hAnsi="Verdana" w:cs="Times New Roman"/>
          <w:color w:val="000000"/>
          <w:sz w:val="19"/>
          <w:szCs w:val="19"/>
          <w:lang w:eastAsia="bg-BG"/>
        </w:rPr>
        <w:br/>
      </w:r>
      <w:r w:rsidRPr="00977929">
        <w:rPr>
          <w:rFonts w:ascii="Verdana" w:eastAsia="Times New Roman" w:hAnsi="Verdana" w:cs="Times New Roman"/>
          <w:color w:val="006887"/>
          <w:sz w:val="19"/>
          <w:szCs w:val="19"/>
          <w:lang w:eastAsia="bg-BG"/>
        </w:rPr>
        <w:t>Работно време:</w:t>
      </w:r>
      <w:r w:rsidRPr="00977929">
        <w:rPr>
          <w:rFonts w:ascii="Verdana" w:eastAsia="Times New Roman" w:hAnsi="Verdana" w:cs="Times New Roman"/>
          <w:color w:val="000000"/>
          <w:sz w:val="19"/>
          <w:szCs w:val="19"/>
          <w:lang w:eastAsia="bg-BG"/>
        </w:rPr>
        <w:t> Стандартно работно време, от 09:00 до 17:30, стандартно работно време - обедна почивка от 12.00 до 12.30 часа</w:t>
      </w:r>
    </w:p>
    <w:p w:rsidR="00977929" w:rsidRPr="00977929" w:rsidRDefault="00977929" w:rsidP="00977929">
      <w:pPr>
        <w:shd w:val="clear" w:color="auto" w:fill="EAE4DB"/>
        <w:spacing w:after="0" w:line="240" w:lineRule="auto"/>
        <w:rPr>
          <w:rFonts w:ascii="Verdana" w:eastAsia="Times New Roman" w:hAnsi="Verdana" w:cs="Times New Roman"/>
          <w:color w:val="000000"/>
          <w:sz w:val="19"/>
          <w:szCs w:val="19"/>
          <w:lang w:eastAsia="bg-BG"/>
        </w:rPr>
      </w:pPr>
      <w:hyperlink r:id="rId7" w:history="1">
        <w:r w:rsidRPr="00977929">
          <w:rPr>
            <w:rFonts w:ascii="Verdana" w:eastAsia="Times New Roman" w:hAnsi="Verdana" w:cs="Times New Roman"/>
            <w:color w:val="006887"/>
            <w:sz w:val="19"/>
            <w:szCs w:val="19"/>
            <w:u w:val="single"/>
            <w:bdr w:val="single" w:sz="6" w:space="4" w:color="CFC8BC" w:frame="1"/>
            <w:shd w:val="clear" w:color="auto" w:fill="F8F7F2"/>
            <w:lang w:eastAsia="bg-BG"/>
          </w:rPr>
          <w:t>Изисквания, процедури, инструкции</w:t>
        </w:r>
      </w:hyperlink>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b/>
          <w:bCs/>
          <w:color w:val="000000"/>
          <w:sz w:val="19"/>
          <w:szCs w:val="19"/>
          <w:lang w:eastAsia="bg-BG"/>
        </w:rPr>
        <w:t>Процедурно описание на услугата</w:t>
      </w:r>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color w:val="000000"/>
          <w:sz w:val="19"/>
          <w:szCs w:val="19"/>
          <w:lang w:eastAsia="bg-BG"/>
        </w:rPr>
        <w:t xml:space="preserve">Декларация се подава в седемдневен срок от въвеждане в експлоатация на обекта за съхранение на зърно, издаване на нотариалния акт за придобиване на право на собственост или право на ползване върху обекта за съхранение на зърно и сключване на договора за наем на обекта за съхранение на зърно. В петнадесетдневен срок от подаване на декларацията, Областна дирекция "Земеделие" извършва проверка на място на обекта за съхранение на зърно. След извършване на проверката резултатите от нея се изпращат по електронен път в Министерство на земеделието и храните за вписване в базата данни с пореден номер. След уведомяване на Областната дирекция "Земеделие", </w:t>
      </w:r>
      <w:r w:rsidRPr="00977929">
        <w:rPr>
          <w:rFonts w:ascii="Verdana" w:eastAsia="Times New Roman" w:hAnsi="Verdana" w:cs="Times New Roman"/>
          <w:color w:val="000000"/>
          <w:sz w:val="19"/>
          <w:szCs w:val="19"/>
          <w:lang w:eastAsia="bg-BG"/>
        </w:rPr>
        <w:lastRenderedPageBreak/>
        <w:t>същата вписва в базата данни на областта обекта за съхранение на зърно и издава удостоверение за вписване.</w:t>
      </w:r>
    </w:p>
    <w:p w:rsidR="00977929" w:rsidRPr="00977929" w:rsidRDefault="00977929" w:rsidP="00977929">
      <w:pPr>
        <w:shd w:val="clear" w:color="auto" w:fill="EAE4DB"/>
        <w:spacing w:after="0" w:line="240" w:lineRule="auto"/>
        <w:rPr>
          <w:rFonts w:ascii="Verdana" w:eastAsia="Times New Roman" w:hAnsi="Verdana" w:cs="Times New Roman"/>
          <w:color w:val="000000"/>
          <w:sz w:val="19"/>
          <w:szCs w:val="19"/>
          <w:lang w:eastAsia="bg-BG"/>
        </w:rPr>
      </w:pPr>
      <w:hyperlink r:id="rId8" w:history="1">
        <w:r w:rsidRPr="00977929">
          <w:rPr>
            <w:rFonts w:ascii="Verdana" w:eastAsia="Times New Roman" w:hAnsi="Verdana" w:cs="Times New Roman"/>
            <w:color w:val="006887"/>
            <w:sz w:val="19"/>
            <w:szCs w:val="19"/>
            <w:u w:val="single"/>
            <w:bdr w:val="single" w:sz="6" w:space="4" w:color="CFC8BC" w:frame="1"/>
            <w:shd w:val="clear" w:color="auto" w:fill="F8F7F2"/>
            <w:lang w:eastAsia="bg-BG"/>
          </w:rPr>
          <w:t>Заплащане</w:t>
        </w:r>
      </w:hyperlink>
    </w:p>
    <w:p w:rsidR="00977929" w:rsidRPr="00977929" w:rsidRDefault="00977929" w:rsidP="00977929">
      <w:pPr>
        <w:shd w:val="clear" w:color="auto" w:fill="EAE4DB"/>
        <w:spacing w:after="0" w:line="360" w:lineRule="atLeast"/>
        <w:rPr>
          <w:rFonts w:ascii="Verdana" w:eastAsia="Times New Roman" w:hAnsi="Verdana" w:cs="Times New Roman"/>
          <w:color w:val="000000"/>
          <w:sz w:val="19"/>
          <w:szCs w:val="19"/>
          <w:lang w:eastAsia="bg-BG"/>
        </w:rPr>
      </w:pPr>
      <w:r w:rsidRPr="00977929">
        <w:rPr>
          <w:rFonts w:ascii="Verdana" w:eastAsia="Times New Roman" w:hAnsi="Verdana" w:cs="Times New Roman"/>
          <w:b/>
          <w:bCs/>
          <w:color w:val="000000"/>
          <w:sz w:val="19"/>
          <w:szCs w:val="19"/>
          <w:lang w:eastAsia="bg-BG"/>
        </w:rPr>
        <w:t>Не се заплаща за услугата</w:t>
      </w:r>
    </w:p>
    <w:p w:rsidR="0089088B" w:rsidRDefault="0089088B"/>
    <w:sectPr w:rsidR="00890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0827"/>
    <w:multiLevelType w:val="multilevel"/>
    <w:tmpl w:val="DCCE8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29"/>
    <w:rsid w:val="0089088B"/>
    <w:rsid w:val="009779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221D"/>
  <w15:chartTrackingRefBased/>
  <w15:docId w15:val="{8A93E86D-4849-46A0-AF9C-59A4720B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6431">
      <w:bodyDiv w:val="1"/>
      <w:marLeft w:val="0"/>
      <w:marRight w:val="0"/>
      <w:marTop w:val="0"/>
      <w:marBottom w:val="0"/>
      <w:divBdr>
        <w:top w:val="none" w:sz="0" w:space="0" w:color="auto"/>
        <w:left w:val="none" w:sz="0" w:space="0" w:color="auto"/>
        <w:bottom w:val="none" w:sz="0" w:space="0" w:color="auto"/>
        <w:right w:val="none" w:sz="0" w:space="0" w:color="auto"/>
      </w:divBdr>
      <w:divsChild>
        <w:div w:id="1773813976">
          <w:marLeft w:val="0"/>
          <w:marRight w:val="0"/>
          <w:marTop w:val="0"/>
          <w:marBottom w:val="0"/>
          <w:divBdr>
            <w:top w:val="none" w:sz="0" w:space="0" w:color="auto"/>
            <w:left w:val="none" w:sz="0" w:space="0" w:color="auto"/>
            <w:bottom w:val="none" w:sz="0" w:space="0" w:color="auto"/>
            <w:right w:val="none" w:sz="0" w:space="0" w:color="auto"/>
          </w:divBdr>
          <w:divsChild>
            <w:div w:id="1248034160">
              <w:marLeft w:val="0"/>
              <w:marRight w:val="0"/>
              <w:marTop w:val="0"/>
              <w:marBottom w:val="0"/>
              <w:divBdr>
                <w:top w:val="single" w:sz="6" w:space="8" w:color="CFC8BC"/>
                <w:left w:val="single" w:sz="6" w:space="8" w:color="CFC8BC"/>
                <w:bottom w:val="none" w:sz="0" w:space="0" w:color="auto"/>
                <w:right w:val="single" w:sz="6" w:space="8" w:color="CFC8BC"/>
              </w:divBdr>
              <w:divsChild>
                <w:div w:id="646016059">
                  <w:marLeft w:val="0"/>
                  <w:marRight w:val="0"/>
                  <w:marTop w:val="0"/>
                  <w:marBottom w:val="0"/>
                  <w:divBdr>
                    <w:top w:val="none" w:sz="0" w:space="0" w:color="auto"/>
                    <w:left w:val="none" w:sz="0" w:space="0" w:color="auto"/>
                    <w:bottom w:val="none" w:sz="0" w:space="0" w:color="auto"/>
                    <w:right w:val="none" w:sz="0" w:space="0" w:color="auto"/>
                  </w:divBdr>
                  <w:divsChild>
                    <w:div w:id="364527785">
                      <w:marLeft w:val="30"/>
                      <w:marRight w:val="0"/>
                      <w:marTop w:val="75"/>
                      <w:marBottom w:val="0"/>
                      <w:divBdr>
                        <w:top w:val="none" w:sz="0" w:space="0" w:color="auto"/>
                        <w:left w:val="single" w:sz="36" w:space="8" w:color="E8E4DD"/>
                        <w:bottom w:val="none" w:sz="0" w:space="0" w:color="auto"/>
                        <w:right w:val="none" w:sz="0" w:space="0" w:color="auto"/>
                      </w:divBdr>
                    </w:div>
                  </w:divsChild>
                </w:div>
              </w:divsChild>
            </w:div>
            <w:div w:id="1905142334">
              <w:marLeft w:val="0"/>
              <w:marRight w:val="0"/>
              <w:marTop w:val="0"/>
              <w:marBottom w:val="0"/>
              <w:divBdr>
                <w:top w:val="single" w:sz="6" w:space="8" w:color="CFC8BC"/>
                <w:left w:val="single" w:sz="6" w:space="8" w:color="CFC8BC"/>
                <w:bottom w:val="none" w:sz="0" w:space="0" w:color="auto"/>
                <w:right w:val="single" w:sz="6" w:space="8" w:color="CFC8BC"/>
              </w:divBdr>
              <w:divsChild>
                <w:div w:id="1879465953">
                  <w:marLeft w:val="0"/>
                  <w:marRight w:val="0"/>
                  <w:marTop w:val="0"/>
                  <w:marBottom w:val="0"/>
                  <w:divBdr>
                    <w:top w:val="none" w:sz="0" w:space="0" w:color="auto"/>
                    <w:left w:val="none" w:sz="0" w:space="0" w:color="auto"/>
                    <w:bottom w:val="none" w:sz="0" w:space="0" w:color="auto"/>
                    <w:right w:val="none" w:sz="0" w:space="0" w:color="auto"/>
                  </w:divBdr>
                </w:div>
              </w:divsChild>
            </w:div>
            <w:div w:id="729227459">
              <w:marLeft w:val="0"/>
              <w:marRight w:val="0"/>
              <w:marTop w:val="0"/>
              <w:marBottom w:val="0"/>
              <w:divBdr>
                <w:top w:val="none" w:sz="0" w:space="0" w:color="auto"/>
                <w:left w:val="single" w:sz="6" w:space="8" w:color="CFC8BC"/>
                <w:bottom w:val="single" w:sz="6" w:space="8" w:color="CFC8BC"/>
                <w:right w:val="single" w:sz="6" w:space="8" w:color="CFC8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https://iisda.government.bg/adm_services/services/service_provision/736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CHIPO</dc:creator>
  <cp:keywords/>
  <dc:description/>
  <cp:lastModifiedBy>CHIPO</cp:lastModifiedBy>
  <cp:revision>1</cp:revision>
  <dcterms:created xsi:type="dcterms:W3CDTF">2023-01-19T12:24:00Z</dcterms:created>
  <dcterms:modified xsi:type="dcterms:W3CDTF">2023-01-19T12:25:00Z</dcterms:modified>
</cp:coreProperties>
</file>