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A3" w:rsidRPr="00D0279E" w:rsidRDefault="006F5AA3" w:rsidP="00D027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79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ИНФОРМАЦИОНЕН СЕМИНАР ЗА ГОВЕДОВЪДИ И ОВЦЕВЪДИ ОТ ПРОГРАМАТА НА ОБЛАСТНА ЕКСПЕРТНА КОМИС</w:t>
      </w:r>
      <w:bookmarkStart w:id="0" w:name="_GoBack"/>
      <w:bookmarkEnd w:id="0"/>
      <w:r w:rsidRPr="00D0279E">
        <w:rPr>
          <w:rFonts w:ascii="Times New Roman" w:eastAsia="Times New Roman" w:hAnsi="Times New Roman" w:cs="Times New Roman"/>
          <w:b/>
          <w:bCs/>
          <w:sz w:val="28"/>
          <w:szCs w:val="28"/>
        </w:rPr>
        <w:t>ИЯ ПО ЖИВОТНОВЪДСТВО БУРГАС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21 юни 2017г., в с. Руен, в присъствие на 25 говедовъди и овцевъди от района на Община Руен, проведохме информационен семинар съгласно Програмата на Областна експертна комисия по животновъдство Бургас за 2017г. 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>Домакин на семинара беше “Сдружение на животновъдите-РУЕН 2015г., което е част от НСГБ и работи активно с животновъдите на територията на общината вече две години. Присъстваха собственици на месодайни и млечни говедовъдни ферми, овцевъди от съставните населени места на Община Руен.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Информационната среща премина при голям интерес в следния дневен ред:</w:t>
      </w:r>
    </w:p>
    <w:p w:rsidR="006F5AA3" w:rsidRPr="00D0279E" w:rsidRDefault="006F5AA3" w:rsidP="006F5A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>1.Внедряване на нови технологии за печелившо животновъдство;</w:t>
      </w:r>
    </w:p>
    <w:p w:rsidR="006F5AA3" w:rsidRPr="00D0279E" w:rsidRDefault="006F5AA3" w:rsidP="006F5A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2.Правилно проектиране и оборудване на животновъдни ферми; </w:t>
      </w:r>
    </w:p>
    <w:p w:rsidR="006F5AA3" w:rsidRPr="00D0279E" w:rsidRDefault="006F5AA3" w:rsidP="006F5A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3.Модерно и ефективно отглеждане на овце; </w:t>
      </w:r>
    </w:p>
    <w:p w:rsidR="006F5AA3" w:rsidRPr="00D0279E" w:rsidRDefault="006F5AA3" w:rsidP="006F5A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4.Професионална хигиена за намаляване на разходите във фермата; </w:t>
      </w:r>
    </w:p>
    <w:p w:rsidR="006F5AA3" w:rsidRPr="00D0279E" w:rsidRDefault="006F5AA3" w:rsidP="006F5A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5.Доене-видове доилни инсталации, охлаждане и съхранение на млякото и системи за управление на стадото; Репродукция при крави и овце. 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Лектори на събитието бяха г-н Момчил Тасков-Търговски мениджър на Агритоп ЕООД и Проф. Стайка Лалева- Директор на Земеделски институт гр. Стара Загора.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Г-жа Лидия Станкова - Директор на ОД “Земеделие“ Бургас откри срещата и накратко запозна присъстващите животновъди с изпълнените дейности до момента на Областна експертна комисия по животновъдство Бургас. Призова фермерите да правят предложения и търсят за съдействие ОЕКЖ Бургас при всички случаи когато имат необходимост от помощ и подкрепа. 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Г-н Тасков подробно запозна фермерите с необходимостта от правилното планиране, изграждане и оборудване на говедовъдните и овцевъдни ферми, за да може успешно и качествено да се управлява животновъдния бизнес. Наблегна на необходимостта от правилно отношение на фермера към храненето на животните, качественото доене, навременно охлаждане и съхранение на млякото, стриктното спазване на професионална хигиена за здрави и продуктивни на животни, оптимален микроклимат, съхранението и оползотворяването на оборския тор. Животновъдите разбраха, че успехът им зависи основно от правилните професионални решения при хранене и доене и възможността фермерите да увеличат печалбата, което е основен приоритет в тяхната дейност. </w:t>
      </w:r>
    </w:p>
    <w:p w:rsidR="006F5AA3" w:rsidRPr="00D0279E" w:rsidRDefault="006F5AA3" w:rsidP="006F5AA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279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Проф. Стайка Лалева ангажира вниманието на присъстващите с начините на управление на репродукцията в говедовъдството и овцевъдството и по точно със видовете синхронизация, които са мощен инструмент за генетично подобряване на стадото. Обясни че хормоналните продукти не са заместител на правилното хранене и отглеждане, а само едно допълнително средство в ръцете на фермера за ефективно управление на заплодяемостта и намаляване на загубите.</w:t>
      </w:r>
    </w:p>
    <w:p w:rsidR="00E8183E" w:rsidRDefault="006F5AA3" w:rsidP="006F5AA3"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FF4523" wp14:editId="1479C598">
            <wp:extent cx="7315200" cy="5486400"/>
            <wp:effectExtent l="0" t="0" r="0" b="0"/>
            <wp:docPr id="9" name="Картина 9" descr="http://www.mzh.government.bg/odz-burgas/Libraries/event1/1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zh.government.bg/odz-burgas/Libraries/event1/1r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0C3BD7" wp14:editId="46EA0A4B">
            <wp:extent cx="7315200" cy="4114800"/>
            <wp:effectExtent l="0" t="0" r="0" b="0"/>
            <wp:docPr id="10" name="Картина 10" descr="http://www.mzh.government.bg/odz-burgas/Libraries/event1/2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zh.government.bg/odz-burgas/Libraries/event1/2r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605EB3" wp14:editId="41EAE425">
            <wp:extent cx="7315200" cy="4114800"/>
            <wp:effectExtent l="0" t="0" r="0" b="0"/>
            <wp:docPr id="11" name="Картина 11" descr="http://www.mzh.government.bg/odz-burgas/Libraries/event1/3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zh.government.bg/odz-burgas/Libraries/event1/3r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1DF0B1" wp14:editId="16A4F526">
            <wp:extent cx="7315200" cy="4114800"/>
            <wp:effectExtent l="0" t="0" r="0" b="0"/>
            <wp:docPr id="12" name="Картина 12" descr="http://www.mzh.government.bg/odz-burgas/Libraries/event1/4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zh.government.bg/odz-burgas/Libraries/event1/4r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A76CD9" wp14:editId="75BED122">
            <wp:extent cx="7315200" cy="5486400"/>
            <wp:effectExtent l="0" t="0" r="0" b="0"/>
            <wp:docPr id="13" name="Картина 13" descr="http://www.mzh.government.bg/odz-burgas/Libraries/event1/5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zh.government.bg/odz-burgas/Libraries/event1/5r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07A3A9" wp14:editId="32D9FE1A">
            <wp:extent cx="7315200" cy="5486400"/>
            <wp:effectExtent l="0" t="0" r="0" b="0"/>
            <wp:docPr id="14" name="Картина 14" descr="http://www.mzh.government.bg/odz-burgas/Libraries/event1/6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zh.government.bg/odz-burgas/Libraries/event1/6r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1E7AA3" wp14:editId="47B3D063">
            <wp:extent cx="7315200" cy="5486400"/>
            <wp:effectExtent l="0" t="0" r="0" b="0"/>
            <wp:docPr id="15" name="Картина 15" descr="http://www.mzh.government.bg/odz-burgas/Libraries/event1/7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zh.government.bg/odz-burgas/Libraries/event1/7r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AA3">
        <w:rPr>
          <w:rFonts w:ascii="Times New Roman" w:eastAsia="Times New Roman" w:hAnsi="Times New Roman" w:cs="Times New Roman"/>
          <w:sz w:val="24"/>
          <w:szCs w:val="24"/>
        </w:rPr>
        <w:br/>
      </w:r>
      <w:r w:rsidRPr="006F5A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539CCD" wp14:editId="76F08B83">
            <wp:extent cx="7315200" cy="5486400"/>
            <wp:effectExtent l="0" t="0" r="0" b="0"/>
            <wp:docPr id="16" name="Картина 16" descr="http://www.mzh.government.bg/odz-burgas/Libraries/event1/8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zh.government.bg/odz-burgas/Libraries/event1/8r.sflb.ash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7B"/>
    <w:rsid w:val="005D667B"/>
    <w:rsid w:val="006F5AA3"/>
    <w:rsid w:val="00D0279E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112776-C5D8-40E4-A926-97956AE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2018-10-10T13:26:00Z</dcterms:created>
  <dcterms:modified xsi:type="dcterms:W3CDTF">2018-10-12T08:24:00Z</dcterms:modified>
</cp:coreProperties>
</file>