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38" w:rsidRDefault="00894F38" w:rsidP="00BA5430">
      <w:pPr>
        <w:rPr>
          <w:rFonts w:ascii="Times New Roman" w:eastAsia="Times New Roman" w:hAnsi="Times New Roman" w:cs="Times New Roman"/>
          <w:noProof/>
          <w:sz w:val="24"/>
          <w:szCs w:val="24"/>
          <w:lang w:val="bg-BG"/>
        </w:rPr>
      </w:pPr>
      <w:r w:rsidRPr="00894F38">
        <w:rPr>
          <w:rFonts w:ascii="Times New Roman" w:eastAsia="Times New Roman" w:hAnsi="Times New Roman" w:cs="Times New Roman"/>
          <w:b/>
          <w:sz w:val="16"/>
          <w:szCs w:val="16"/>
          <w:lang w:eastAsia="bg-BG"/>
        </w:rPr>
        <w:t xml:space="preserve">   </w:t>
      </w:r>
      <w:r>
        <w:rPr>
          <w:rFonts w:ascii="Times New Roman" w:eastAsia="Times New Roman" w:hAnsi="Times New Roman" w:cs="Times New Roman"/>
          <w:b/>
          <w:noProof/>
          <w:sz w:val="16"/>
          <w:szCs w:val="16"/>
        </w:rPr>
        <w:drawing>
          <wp:inline distT="0" distB="0" distL="0" distR="0">
            <wp:extent cx="17049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r>
        <w:rPr>
          <w:rFonts w:ascii="Times New Roman" w:eastAsia="Times New Roman" w:hAnsi="Times New Roman" w:cs="Times New Roman"/>
          <w:b/>
          <w:sz w:val="16"/>
          <w:szCs w:val="16"/>
          <w:lang w:val="bg-BG" w:eastAsia="bg-BG"/>
        </w:rPr>
        <w:t xml:space="preserve">             </w:t>
      </w:r>
      <w:r w:rsidRPr="00894F38">
        <w:rPr>
          <w:rFonts w:ascii="Times New Roman" w:eastAsia="Times New Roman" w:hAnsi="Times New Roman" w:cs="Times New Roman"/>
          <w:b/>
          <w:sz w:val="16"/>
          <w:szCs w:val="16"/>
          <w:lang w:val="bg-BG" w:eastAsia="bg-BG"/>
        </w:rPr>
        <w:t xml:space="preserve">                                                                            </w:t>
      </w:r>
      <w:r w:rsidR="004F1538">
        <w:rPr>
          <w:rFonts w:ascii="Times New Roman" w:eastAsia="Times New Roman" w:hAnsi="Times New Roman" w:cs="Times New Roman"/>
          <w:b/>
          <w:sz w:val="16"/>
          <w:szCs w:val="16"/>
          <w:lang w:val="bg-BG" w:eastAsia="bg-BG"/>
        </w:rPr>
        <w:t xml:space="preserve">                             </w:t>
      </w:r>
      <w:r w:rsidRPr="00894F38">
        <w:rPr>
          <w:rFonts w:ascii="Times New Roman" w:eastAsia="Times New Roman" w:hAnsi="Times New Roman" w:cs="Times New Roman"/>
          <w:b/>
          <w:sz w:val="16"/>
          <w:szCs w:val="16"/>
          <w:lang w:val="bg-BG" w:eastAsia="bg-BG"/>
        </w:rPr>
        <w:t xml:space="preserve">        </w:t>
      </w:r>
      <w:r w:rsidR="004F1538">
        <w:rPr>
          <w:rFonts w:ascii="Times New Roman" w:eastAsia="Times New Roman" w:hAnsi="Times New Roman" w:cs="Times New Roman"/>
          <w:b/>
          <w:sz w:val="16"/>
          <w:szCs w:val="16"/>
          <w:lang w:val="bg-BG" w:eastAsia="bg-BG"/>
        </w:rPr>
        <w:t xml:space="preserve">                                        </w:t>
      </w:r>
      <w:r w:rsidRPr="00894F38">
        <w:rPr>
          <w:rFonts w:ascii="Times New Roman" w:eastAsia="Times New Roman" w:hAnsi="Times New Roman" w:cs="Times New Roman"/>
          <w:b/>
          <w:sz w:val="16"/>
          <w:szCs w:val="16"/>
          <w:lang w:val="bg-BG" w:eastAsia="bg-BG"/>
        </w:rPr>
        <w:t xml:space="preserve">     </w:t>
      </w:r>
      <w:r w:rsidR="004F1538">
        <w:rPr>
          <w:rFonts w:ascii="Times New Roman" w:eastAsia="Times New Roman" w:hAnsi="Times New Roman" w:cs="Times New Roman"/>
          <w:noProof/>
          <w:sz w:val="24"/>
          <w:szCs w:val="24"/>
          <w:lang w:val="bg-BG"/>
        </w:rPr>
        <w:t xml:space="preserve">             </w:t>
      </w:r>
      <w:r>
        <w:rPr>
          <w:rFonts w:ascii="Times New Roman" w:eastAsia="Times New Roman" w:hAnsi="Times New Roman" w:cs="Times New Roman"/>
          <w:noProof/>
          <w:sz w:val="24"/>
          <w:szCs w:val="24"/>
        </w:rPr>
        <w:drawing>
          <wp:inline distT="0" distB="0" distL="0" distR="0" wp14:anchorId="193E9AE4" wp14:editId="11C8E463">
            <wp:extent cx="1323975" cy="800100"/>
            <wp:effectExtent l="0" t="0" r="9525" b="0"/>
            <wp:docPr id="1" name="Picture 1" descr="&amp;Rcy;&amp;iecy;&amp;zcy;&amp;ucy;&amp;lcy;&amp;tcy;&amp;acy;&amp;tcy; &amp;scy; &amp;icy;&amp;zcy;&amp;ocy;&amp;bcy;&amp;rcy;&amp;acy;&amp;zhcy;&amp;iecy;&amp;ncy;&amp;icy;&amp;iecy; &amp;zcy;&amp;acy; &amp;ie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 &amp;icy;&amp;zcy;&amp;ocy;&amp;bcy;&amp;rcy;&amp;acy;&amp;zhcy;&amp;iecy;&amp;ncy;&amp;icy;&amp;iecy; &amp;zcy;&amp;acy; &amp;iecy;&amp;s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00100"/>
                    </a:xfrm>
                    <a:prstGeom prst="rect">
                      <a:avLst/>
                    </a:prstGeom>
                    <a:noFill/>
                    <a:ln>
                      <a:noFill/>
                    </a:ln>
                  </pic:spPr>
                </pic:pic>
              </a:graphicData>
            </a:graphic>
          </wp:inline>
        </w:drawing>
      </w:r>
    </w:p>
    <w:p w:rsidR="00894F38" w:rsidRPr="00894F38" w:rsidRDefault="00894F38" w:rsidP="00894F38">
      <w:pPr>
        <w:spacing w:after="0" w:line="240" w:lineRule="auto"/>
        <w:rPr>
          <w:rFonts w:ascii="Times New Roman" w:eastAsia="Times New Roman" w:hAnsi="Times New Roman" w:cs="Times New Roman"/>
          <w:sz w:val="24"/>
          <w:szCs w:val="24"/>
          <w:lang w:val="bg-BG" w:eastAsia="bg-BG"/>
        </w:rPr>
      </w:pPr>
      <w:bookmarkStart w:id="0" w:name="_GoBack"/>
      <w:bookmarkEnd w:id="0"/>
    </w:p>
    <w:p w:rsidR="00894F38" w:rsidRPr="00894F38" w:rsidRDefault="00666DB6" w:rsidP="00D54017">
      <w:pPr>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45pt;height:95.55pt">
            <v:imagedata r:id="rId10" o:title=""/>
            <o:lock v:ext="edit" ungrouping="t" rotation="t" cropping="t" verticies="t" text="t" grouping="t"/>
            <o:signatureline v:ext="edit" id="{88B6F816-19C8-4678-A398-B4943658559D}" provid="{00000000-0000-0000-0000-000000000000}" issignatureline="t"/>
          </v:shape>
        </w:pict>
      </w:r>
    </w:p>
    <w:p w:rsidR="00894F38" w:rsidRDefault="00894F38" w:rsidP="00894F38">
      <w:pPr>
        <w:spacing w:after="0" w:line="240" w:lineRule="auto"/>
        <w:rPr>
          <w:rFonts w:ascii="Times New Roman" w:eastAsia="Times New Roman" w:hAnsi="Times New Roman" w:cs="Times New Roman"/>
          <w:sz w:val="24"/>
          <w:szCs w:val="24"/>
          <w:lang w:val="bg-BG" w:eastAsia="bg-BG"/>
        </w:rPr>
      </w:pPr>
      <w:r w:rsidRPr="00894F38">
        <w:rPr>
          <w:rFonts w:ascii="Times New Roman" w:eastAsia="Times New Roman" w:hAnsi="Times New Roman" w:cs="Times New Roman"/>
          <w:sz w:val="24"/>
          <w:szCs w:val="24"/>
          <w:lang w:val="bg-BG" w:eastAsia="bg-BG"/>
        </w:rPr>
        <w:t>Утвърдил:</w:t>
      </w:r>
    </w:p>
    <w:p w:rsidR="00D54017" w:rsidRDefault="00D54017" w:rsidP="00894F38">
      <w:pPr>
        <w:spacing w:after="0" w:line="240" w:lineRule="auto"/>
        <w:rPr>
          <w:rFonts w:ascii="Times New Roman" w:eastAsia="Times New Roman" w:hAnsi="Times New Roman" w:cs="Times New Roman"/>
          <w:sz w:val="24"/>
          <w:szCs w:val="24"/>
          <w:lang w:val="bg-BG" w:eastAsia="bg-BG"/>
        </w:rPr>
      </w:pPr>
    </w:p>
    <w:p w:rsidR="00D54017" w:rsidRPr="00894F38" w:rsidRDefault="00D54017" w:rsidP="00894F38">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pict>
          <v:shape id="_x0000_i1029" type="#_x0000_t75" alt="Microsoft Office Signature Line..." style="width:192pt;height:96pt">
            <v:imagedata r:id="rId11" o:title=""/>
            <o:lock v:ext="edit" ungrouping="t" rotation="t" cropping="t" verticies="t" text="t" grouping="t"/>
            <o:signatureline v:ext="edit" id="{99303284-F152-438F-B336-115B022A86F9}" provid="{00000000-0000-0000-0000-000000000000}" o:suggestedsigner="Таня Георгиева" o:suggestedsigner2="Зам.-министър на МЗХ и ръководител на УО на ПРСР и СПРЗСР" issignatureline="t"/>
          </v:shape>
        </w:pict>
      </w:r>
    </w:p>
    <w:p w:rsidR="00894F38" w:rsidRDefault="00894F38" w:rsidP="00894F38">
      <w:pPr>
        <w:tabs>
          <w:tab w:val="left" w:pos="900"/>
        </w:tabs>
        <w:spacing w:after="0" w:line="240" w:lineRule="auto"/>
        <w:rPr>
          <w:rFonts w:ascii="Times New Roman" w:eastAsia="Times New Roman" w:hAnsi="Times New Roman" w:cs="Times New Roman"/>
          <w:b/>
          <w:sz w:val="24"/>
          <w:szCs w:val="24"/>
          <w:lang w:val="bg-BG" w:eastAsia="bg-BG"/>
        </w:rPr>
      </w:pPr>
    </w:p>
    <w:p w:rsidR="00385298" w:rsidRPr="00894F38" w:rsidRDefault="00385298" w:rsidP="00894F38">
      <w:pPr>
        <w:tabs>
          <w:tab w:val="left" w:pos="900"/>
        </w:tabs>
        <w:spacing w:after="0" w:line="240" w:lineRule="auto"/>
        <w:rPr>
          <w:rFonts w:ascii="Times New Roman" w:eastAsia="Times New Roman" w:hAnsi="Times New Roman" w:cs="Times New Roman"/>
          <w:b/>
          <w:sz w:val="24"/>
          <w:szCs w:val="24"/>
          <w:lang w:val="bg-BG" w:eastAsia="bg-BG"/>
        </w:rPr>
      </w:pPr>
    </w:p>
    <w:p w:rsidR="00894F38" w:rsidRPr="00894F3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p>
    <w:p w:rsidR="00894F38" w:rsidRPr="0038529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ПРОТОКОЛ</w:t>
      </w:r>
    </w:p>
    <w:p w:rsidR="00894F38" w:rsidRPr="0038529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 xml:space="preserve">ОТ  ПРОВЕДЕНА ПИСМЕНА ПРОЦЕДУРА </w:t>
      </w:r>
    </w:p>
    <w:p w:rsidR="00894F38" w:rsidRPr="0038529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ЗА НЕПРИСЪСТВЕНО ВЗЕМАНЕ НА РЕШЕНИЕ</w:t>
      </w:r>
    </w:p>
    <w:p w:rsidR="00894F38" w:rsidRPr="00385298" w:rsidRDefault="00894F38" w:rsidP="0098133D">
      <w:pPr>
        <w:tabs>
          <w:tab w:val="left" w:pos="900"/>
        </w:tabs>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Н</w:t>
      </w:r>
      <w:r w:rsidR="00F166B2" w:rsidRPr="00385298">
        <w:rPr>
          <w:rFonts w:ascii="Times New Roman" w:eastAsia="Times New Roman" w:hAnsi="Times New Roman" w:cs="Times New Roman"/>
          <w:b/>
          <w:sz w:val="24"/>
          <w:szCs w:val="24"/>
          <w:lang w:val="bg-BG" w:eastAsia="bg-BG"/>
        </w:rPr>
        <w:t>А КОМИТЕТА ПО НАБЛЮДЕНИЕ НА ПРОГРАМАТА ЗА РАЗВИТИЕ НА СЕЛСКИТЕ РАЙОНИ</w:t>
      </w:r>
      <w:r w:rsidRPr="00385298">
        <w:rPr>
          <w:rFonts w:ascii="Times New Roman" w:eastAsia="Times New Roman" w:hAnsi="Times New Roman" w:cs="Times New Roman"/>
          <w:b/>
          <w:sz w:val="24"/>
          <w:szCs w:val="24"/>
          <w:lang w:val="bg-BG" w:eastAsia="bg-BG"/>
        </w:rPr>
        <w:t xml:space="preserve"> (2014-2020) </w:t>
      </w:r>
      <w:r w:rsidR="00425E84" w:rsidRPr="00385298">
        <w:rPr>
          <w:rFonts w:ascii="Times New Roman" w:eastAsia="Times New Roman" w:hAnsi="Times New Roman" w:cs="Times New Roman"/>
          <w:b/>
          <w:sz w:val="24"/>
          <w:szCs w:val="24"/>
          <w:lang w:val="bg-BG" w:eastAsia="bg-BG"/>
        </w:rPr>
        <w:t>В</w:t>
      </w:r>
      <w:r w:rsidR="004D7309" w:rsidRPr="00385298">
        <w:rPr>
          <w:rFonts w:ascii="Times New Roman" w:eastAsia="Times New Roman" w:hAnsi="Times New Roman" w:cs="Times New Roman"/>
          <w:b/>
          <w:sz w:val="24"/>
          <w:szCs w:val="24"/>
          <w:lang w:val="bg-BG" w:eastAsia="bg-BG"/>
        </w:rPr>
        <w:t xml:space="preserve"> </w:t>
      </w:r>
      <w:r w:rsidR="00425E84" w:rsidRPr="00385298">
        <w:rPr>
          <w:rFonts w:ascii="Times New Roman" w:eastAsia="Times New Roman" w:hAnsi="Times New Roman" w:cs="Times New Roman"/>
          <w:b/>
          <w:sz w:val="24"/>
          <w:szCs w:val="24"/>
          <w:lang w:val="bg-BG" w:eastAsia="bg-BG"/>
        </w:rPr>
        <w:t>ПЕРИОДА</w:t>
      </w:r>
    </w:p>
    <w:p w:rsidR="0098133D" w:rsidRPr="00385298" w:rsidRDefault="0098133D" w:rsidP="0098133D">
      <w:pPr>
        <w:tabs>
          <w:tab w:val="left" w:pos="900"/>
        </w:tabs>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05-10.04.2023 г.</w:t>
      </w:r>
      <w:r w:rsidR="00C1366A" w:rsidRPr="00385298">
        <w:rPr>
          <w:rFonts w:ascii="Times New Roman" w:eastAsia="Times New Roman" w:hAnsi="Times New Roman" w:cs="Times New Roman"/>
          <w:b/>
          <w:sz w:val="24"/>
          <w:szCs w:val="24"/>
          <w:lang w:val="bg-BG" w:eastAsia="bg-BG"/>
        </w:rPr>
        <w:t>, УДЪЛЖЕНА ДО 05.06.2023 г.</w:t>
      </w:r>
    </w:p>
    <w:p w:rsidR="00894F38" w:rsidRPr="00385298" w:rsidRDefault="00894F38" w:rsidP="00894F38">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u w:val="single"/>
          <w:lang w:val="bg-BG" w:eastAsia="bg-BG"/>
        </w:rPr>
        <w:t>ФАКТОЛОГИЯ</w:t>
      </w:r>
      <w:r w:rsidRPr="00385298">
        <w:rPr>
          <w:rFonts w:ascii="Times New Roman" w:eastAsia="Times New Roman" w:hAnsi="Times New Roman" w:cs="Times New Roman"/>
          <w:b/>
          <w:sz w:val="24"/>
          <w:szCs w:val="24"/>
          <w:lang w:val="bg-BG" w:eastAsia="bg-BG"/>
        </w:rPr>
        <w:t>:</w:t>
      </w:r>
    </w:p>
    <w:p w:rsidR="008E5F2B" w:rsidRPr="00385298" w:rsidRDefault="008E5F2B" w:rsidP="00F72565">
      <w:pPr>
        <w:spacing w:after="0" w:line="240" w:lineRule="auto"/>
        <w:jc w:val="both"/>
        <w:outlineLvl w:val="0"/>
        <w:rPr>
          <w:rFonts w:ascii="Times New Roman" w:eastAsia="Times New Roman" w:hAnsi="Times New Roman" w:cs="Times New Roman"/>
          <w:b/>
          <w:sz w:val="24"/>
          <w:szCs w:val="24"/>
          <w:lang w:val="bg-BG" w:eastAsia="bg-BG"/>
        </w:rPr>
      </w:pPr>
    </w:p>
    <w:p w:rsidR="008E5F2B" w:rsidRPr="00385298" w:rsidRDefault="008E5F2B" w:rsidP="00F72565">
      <w:pPr>
        <w:overflowPunct w:val="0"/>
        <w:autoSpaceDE w:val="0"/>
        <w:autoSpaceDN w:val="0"/>
        <w:spacing w:line="240" w:lineRule="auto"/>
        <w:ind w:firstLine="708"/>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 xml:space="preserve">В съответствие с чл. 22, ал. 1 от Вътрешните правила за работа на Комитета за наблюдение на Програмата за развитие на селските райони 2014-2020 г. и отчитайки решение на КН на ПРСР, взето на 20-то заседание на Комитета за наблюдение на Програмата, проведено на 04.04.2023 г., че  разглеждането, представянето на обосновки и прецизирането на текстове на решения по Дневния ред на 20-то заседание ще продължи на писмена процедура, Управляващият орган предлага провеждане на неприсъствена процедура в периода </w:t>
      </w:r>
      <w:r w:rsidRPr="00385298">
        <w:rPr>
          <w:rFonts w:ascii="Times New Roman" w:hAnsi="Times New Roman" w:cs="Times New Roman"/>
          <w:b/>
          <w:bCs/>
          <w:sz w:val="24"/>
          <w:szCs w:val="24"/>
          <w:lang w:val="bg-BG"/>
        </w:rPr>
        <w:t>05-10.04.2023 г</w:t>
      </w:r>
      <w:r w:rsidRPr="00385298">
        <w:rPr>
          <w:rFonts w:ascii="Times New Roman" w:hAnsi="Times New Roman" w:cs="Times New Roman"/>
          <w:sz w:val="24"/>
          <w:szCs w:val="24"/>
          <w:lang w:val="bg-BG"/>
        </w:rPr>
        <w:t xml:space="preserve">. за одобрение на: </w:t>
      </w:r>
    </w:p>
    <w:p w:rsidR="008E5F2B" w:rsidRPr="00385298" w:rsidRDefault="008E5F2B" w:rsidP="00F72565">
      <w:pPr>
        <w:numPr>
          <w:ilvl w:val="0"/>
          <w:numId w:val="3"/>
        </w:numPr>
        <w:overflowPunct w:val="0"/>
        <w:autoSpaceDE w:val="0"/>
        <w:autoSpaceDN w:val="0"/>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Предложение на УО за изменение в текста на подмярка 1.2 „Демонстрационни дейности и действия за осведомяване“ от ПРСР 2014-2020 г.</w:t>
      </w:r>
    </w:p>
    <w:p w:rsidR="008E5F2B" w:rsidRPr="00385298" w:rsidRDefault="008E5F2B" w:rsidP="00F72565">
      <w:pPr>
        <w:numPr>
          <w:ilvl w:val="0"/>
          <w:numId w:val="3"/>
        </w:numPr>
        <w:overflowPunct w:val="0"/>
        <w:autoSpaceDE w:val="0"/>
        <w:autoSpaceDN w:val="0"/>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Предложение на УО за изменение в текста на подмярка 4.3 „Подкрепа за инвестиции в инфраструктура“.</w:t>
      </w:r>
    </w:p>
    <w:p w:rsidR="007D6383" w:rsidRPr="00385298" w:rsidRDefault="008E5F2B" w:rsidP="00F72565">
      <w:pPr>
        <w:numPr>
          <w:ilvl w:val="0"/>
          <w:numId w:val="3"/>
        </w:numPr>
        <w:overflowPunct w:val="0"/>
        <w:autoSpaceDE w:val="0"/>
        <w:autoSpaceDN w:val="0"/>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Актуализиране на предложението на УО за прехвърляне на средства между мерки, подмерки и фокус области от ПРСР 2014-2020 г.</w:t>
      </w:r>
    </w:p>
    <w:p w:rsidR="008A5F05" w:rsidRPr="00385298" w:rsidRDefault="008A5F05" w:rsidP="00F72565">
      <w:pPr>
        <w:pStyle w:val="ListParagraph"/>
        <w:numPr>
          <w:ilvl w:val="0"/>
          <w:numId w:val="3"/>
        </w:num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Предложение на Управляващия орган за изменение в текста на мярка 4 „Инвестиции в материални активи“ относно процедура за избор на изпълнители по реда на Постановление № 160 от 1 юли 2016 г.</w:t>
      </w:r>
    </w:p>
    <w:p w:rsidR="008A5F05" w:rsidRPr="00385298" w:rsidRDefault="008A5F05" w:rsidP="00F72565">
      <w:pPr>
        <w:pStyle w:val="ListParagraph"/>
        <w:numPr>
          <w:ilvl w:val="0"/>
          <w:numId w:val="3"/>
        </w:num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Предложение на Управляващия орган за изменение в текста на подмярка 4.2 „Инвестиции в преработка/маркетинг на селскостопански продукти“ относно актуализиране на изискванията за поддържане съответствие с критериите за подбор</w:t>
      </w:r>
    </w:p>
    <w:p w:rsidR="008E5F2B" w:rsidRPr="00385298" w:rsidRDefault="008E5F2B" w:rsidP="00F72565">
      <w:pPr>
        <w:numPr>
          <w:ilvl w:val="0"/>
          <w:numId w:val="3"/>
        </w:numPr>
        <w:overflowPunct w:val="0"/>
        <w:autoSpaceDE w:val="0"/>
        <w:autoSpaceDN w:val="0"/>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Предложение на УО за изменение на критериите за оценка на проектни предложения по подмярка 6.4.1 „Инвестиции в подкрепа на неземеделски дейности“ от ПРСР 2014-2020 г. за прием 2023 г.</w:t>
      </w:r>
    </w:p>
    <w:p w:rsidR="0084550F" w:rsidRPr="00385298" w:rsidRDefault="0084550F" w:rsidP="00F72565">
      <w:pPr>
        <w:overflowPunct w:val="0"/>
        <w:autoSpaceDE w:val="0"/>
        <w:autoSpaceDN w:val="0"/>
        <w:spacing w:after="0" w:line="240" w:lineRule="auto"/>
        <w:ind w:left="720"/>
        <w:jc w:val="both"/>
        <w:rPr>
          <w:rFonts w:ascii="Times New Roman" w:eastAsia="Times New Roman" w:hAnsi="Times New Roman" w:cs="Times New Roman"/>
          <w:sz w:val="24"/>
          <w:szCs w:val="24"/>
          <w:lang w:val="bg-BG"/>
        </w:rPr>
      </w:pPr>
    </w:p>
    <w:p w:rsidR="00AF5E9B" w:rsidRPr="00385298" w:rsidRDefault="00894F38" w:rsidP="00F72565">
      <w:pPr>
        <w:spacing w:after="0" w:line="240" w:lineRule="auto"/>
        <w:ind w:firstLine="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При съгласувателната процедура писмени становища са получени от:</w:t>
      </w:r>
      <w:r w:rsidR="00746F1B" w:rsidRPr="00385298">
        <w:rPr>
          <w:rFonts w:ascii="Times New Roman" w:eastAsia="Times New Roman" w:hAnsi="Times New Roman" w:cs="Times New Roman"/>
          <w:sz w:val="24"/>
          <w:szCs w:val="24"/>
          <w:lang w:val="bg-BG" w:eastAsia="bg-BG"/>
        </w:rPr>
        <w:t xml:space="preserve"> </w:t>
      </w:r>
      <w:r w:rsidR="00AF5E9B" w:rsidRPr="00385298">
        <w:rPr>
          <w:rFonts w:ascii="Times New Roman" w:eastAsia="Times New Roman" w:hAnsi="Times New Roman" w:cs="Times New Roman"/>
          <w:sz w:val="24"/>
          <w:szCs w:val="24"/>
          <w:lang w:val="bg-BG" w:eastAsia="bg-BG"/>
        </w:rPr>
        <w:t xml:space="preserve"> </w:t>
      </w:r>
    </w:p>
    <w:p w:rsidR="008E5F2B" w:rsidRPr="00385298" w:rsidRDefault="00AF5E9B" w:rsidP="00F72565">
      <w:pPr>
        <w:spacing w:after="0" w:line="240" w:lineRule="auto"/>
        <w:ind w:left="720"/>
        <w:jc w:val="both"/>
        <w:rPr>
          <w:rFonts w:ascii="Times New Roman" w:hAnsi="Times New Roman" w:cs="Times New Roman"/>
          <w:sz w:val="24"/>
          <w:szCs w:val="24"/>
          <w:lang w:val="bg-BG"/>
        </w:rPr>
      </w:pPr>
      <w:r w:rsidRPr="00385298">
        <w:rPr>
          <w:rFonts w:ascii="Times New Roman" w:eastAsia="Times New Roman" w:hAnsi="Times New Roman" w:cs="Times New Roman"/>
          <w:sz w:val="24"/>
          <w:szCs w:val="24"/>
          <w:lang w:val="bg-BG" w:eastAsia="bg-BG"/>
        </w:rPr>
        <w:t xml:space="preserve">1. </w:t>
      </w:r>
      <w:r w:rsidR="008E5F2B" w:rsidRPr="00385298">
        <w:rPr>
          <w:rFonts w:ascii="Times New Roman" w:eastAsia="Times New Roman" w:hAnsi="Times New Roman" w:cs="Times New Roman"/>
          <w:sz w:val="24"/>
          <w:szCs w:val="24"/>
          <w:lang w:val="bg-BG" w:eastAsia="bg-BG"/>
        </w:rPr>
        <w:t xml:space="preserve">г-н </w:t>
      </w:r>
      <w:r w:rsidR="008E5F2B" w:rsidRPr="00385298">
        <w:rPr>
          <w:rFonts w:ascii="Times New Roman" w:hAnsi="Times New Roman" w:cs="Times New Roman"/>
          <w:sz w:val="24"/>
          <w:szCs w:val="24"/>
          <w:lang w:val="bg-BG"/>
        </w:rPr>
        <w:t>Тодор Варгов - директор на дирекция „Програмиране и управление на проекти“,</w:t>
      </w:r>
      <w:r w:rsidR="00776FD5" w:rsidRPr="00385298">
        <w:rPr>
          <w:rFonts w:ascii="Times New Roman" w:hAnsi="Times New Roman" w:cs="Times New Roman"/>
          <w:sz w:val="24"/>
          <w:szCs w:val="24"/>
          <w:lang w:val="bg-BG"/>
        </w:rPr>
        <w:t xml:space="preserve"> </w:t>
      </w:r>
      <w:r w:rsidR="008E5F2B" w:rsidRPr="00385298">
        <w:rPr>
          <w:rFonts w:ascii="Times New Roman" w:hAnsi="Times New Roman" w:cs="Times New Roman"/>
          <w:sz w:val="24"/>
          <w:szCs w:val="24"/>
          <w:lang w:val="bg-BG"/>
        </w:rPr>
        <w:t>Министерство на туризма</w:t>
      </w:r>
      <w:r w:rsidR="008A5F05" w:rsidRPr="00385298">
        <w:rPr>
          <w:rFonts w:ascii="Times New Roman" w:hAnsi="Times New Roman" w:cs="Times New Roman"/>
          <w:sz w:val="24"/>
          <w:szCs w:val="24"/>
          <w:lang w:val="bg-BG"/>
        </w:rPr>
        <w:t>;</w:t>
      </w:r>
    </w:p>
    <w:p w:rsidR="00C07906" w:rsidRPr="00385298" w:rsidRDefault="00AF5E9B" w:rsidP="00F72565">
      <w:pPr>
        <w:spacing w:after="0" w:line="240" w:lineRule="auto"/>
        <w:ind w:left="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2.</w:t>
      </w:r>
      <w:r w:rsidR="00746F1B" w:rsidRPr="00385298">
        <w:rPr>
          <w:rFonts w:ascii="Times New Roman" w:eastAsia="Times New Roman" w:hAnsi="Times New Roman" w:cs="Times New Roman"/>
          <w:sz w:val="24"/>
          <w:szCs w:val="24"/>
          <w:lang w:val="bg-BG" w:eastAsia="bg-BG"/>
        </w:rPr>
        <w:t xml:space="preserve"> </w:t>
      </w:r>
      <w:r w:rsidR="00B431BC" w:rsidRPr="00385298">
        <w:rPr>
          <w:rFonts w:ascii="Times New Roman" w:eastAsia="Times New Roman" w:hAnsi="Times New Roman" w:cs="Times New Roman"/>
          <w:sz w:val="24"/>
          <w:szCs w:val="24"/>
          <w:lang w:val="bg-BG" w:eastAsia="bg-BG"/>
        </w:rPr>
        <w:t xml:space="preserve">г-жа </w:t>
      </w:r>
      <w:r w:rsidR="00746F1B" w:rsidRPr="00385298">
        <w:rPr>
          <w:rFonts w:ascii="Times New Roman" w:eastAsia="Times New Roman" w:hAnsi="Times New Roman" w:cs="Times New Roman"/>
          <w:sz w:val="24"/>
          <w:szCs w:val="24"/>
          <w:lang w:val="bg-BG" w:eastAsia="bg-BG"/>
        </w:rPr>
        <w:t xml:space="preserve">Весела Данева </w:t>
      </w:r>
      <w:r w:rsidR="00B431BC" w:rsidRPr="00385298">
        <w:rPr>
          <w:rFonts w:ascii="Times New Roman" w:eastAsia="Times New Roman" w:hAnsi="Times New Roman" w:cs="Times New Roman"/>
          <w:sz w:val="24"/>
          <w:szCs w:val="24"/>
          <w:lang w:val="bg-BG" w:eastAsia="bg-BG"/>
        </w:rPr>
        <w:t>– директор на дирекция „Държавни помощи и реален сектор“, М</w:t>
      </w:r>
      <w:r w:rsidR="00425E84" w:rsidRPr="00385298">
        <w:rPr>
          <w:rFonts w:ascii="Times New Roman" w:eastAsia="Times New Roman" w:hAnsi="Times New Roman" w:cs="Times New Roman"/>
          <w:sz w:val="24"/>
          <w:szCs w:val="24"/>
          <w:lang w:val="bg-BG" w:eastAsia="bg-BG"/>
        </w:rPr>
        <w:t>инистерство на финансите</w:t>
      </w:r>
      <w:r w:rsidR="007A5326" w:rsidRPr="00385298">
        <w:rPr>
          <w:rFonts w:ascii="Times New Roman" w:eastAsia="Times New Roman" w:hAnsi="Times New Roman" w:cs="Times New Roman"/>
          <w:sz w:val="24"/>
          <w:szCs w:val="24"/>
          <w:lang w:val="bg-BG" w:eastAsia="bg-BG"/>
        </w:rPr>
        <w:t>;</w:t>
      </w:r>
      <w:r w:rsidRPr="00385298">
        <w:rPr>
          <w:rFonts w:ascii="Times New Roman" w:eastAsia="Times New Roman" w:hAnsi="Times New Roman" w:cs="Times New Roman"/>
          <w:sz w:val="24"/>
          <w:szCs w:val="24"/>
          <w:lang w:val="bg-BG" w:eastAsia="bg-BG"/>
        </w:rPr>
        <w:t xml:space="preserve"> </w:t>
      </w:r>
    </w:p>
    <w:p w:rsidR="0084550F" w:rsidRPr="00385298" w:rsidRDefault="0084550F" w:rsidP="00F72565">
      <w:pPr>
        <w:spacing w:after="0" w:line="240" w:lineRule="auto"/>
        <w:ind w:firstLine="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3. Българска асоциация на консу</w:t>
      </w:r>
      <w:r w:rsidR="00C75956" w:rsidRPr="00385298">
        <w:rPr>
          <w:rFonts w:ascii="Times New Roman" w:eastAsia="Times New Roman" w:hAnsi="Times New Roman" w:cs="Times New Roman"/>
          <w:sz w:val="24"/>
          <w:szCs w:val="24"/>
          <w:lang w:val="bg-BG" w:eastAsia="bg-BG"/>
        </w:rPr>
        <w:t>лтантите по европейски програми;</w:t>
      </w:r>
    </w:p>
    <w:p w:rsidR="00C75956" w:rsidRPr="00385298" w:rsidRDefault="00C75956" w:rsidP="00F72565">
      <w:pPr>
        <w:spacing w:after="0" w:line="240" w:lineRule="auto"/>
        <w:ind w:left="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4. Инж. Радка Върбанова -главен експерт в отдел </w:t>
      </w:r>
      <w:r w:rsidR="003C0A91">
        <w:rPr>
          <w:rFonts w:ascii="Times New Roman" w:eastAsia="Times New Roman" w:hAnsi="Times New Roman" w:cs="Times New Roman"/>
          <w:sz w:val="24"/>
          <w:szCs w:val="24"/>
          <w:lang w:val="bg-BG" w:eastAsia="bg-BG"/>
        </w:rPr>
        <w:t>„</w:t>
      </w:r>
      <w:r w:rsidRPr="00385298">
        <w:rPr>
          <w:rFonts w:ascii="Times New Roman" w:eastAsia="Times New Roman" w:hAnsi="Times New Roman" w:cs="Times New Roman"/>
          <w:sz w:val="24"/>
          <w:szCs w:val="24"/>
          <w:lang w:val="bg-BG" w:eastAsia="bg-BG"/>
        </w:rPr>
        <w:t>Наука и международни дейности</w:t>
      </w:r>
      <w:r w:rsidR="003C0A91">
        <w:rPr>
          <w:rFonts w:ascii="Times New Roman" w:eastAsia="Times New Roman" w:hAnsi="Times New Roman" w:cs="Times New Roman"/>
          <w:sz w:val="24"/>
          <w:szCs w:val="24"/>
          <w:lang w:val="bg-BG" w:eastAsia="bg-BG"/>
        </w:rPr>
        <w:t>“</w:t>
      </w:r>
      <w:r w:rsidRPr="00385298">
        <w:rPr>
          <w:rFonts w:ascii="Times New Roman" w:eastAsia="Times New Roman" w:hAnsi="Times New Roman" w:cs="Times New Roman"/>
          <w:sz w:val="24"/>
          <w:szCs w:val="24"/>
          <w:lang w:val="bg-BG" w:eastAsia="bg-BG"/>
        </w:rPr>
        <w:t>,</w:t>
      </w:r>
      <w:r w:rsidR="00F72565" w:rsidRPr="00385298">
        <w:rPr>
          <w:rFonts w:ascii="Times New Roman" w:eastAsia="Times New Roman" w:hAnsi="Times New Roman" w:cs="Times New Roman"/>
          <w:sz w:val="24"/>
          <w:szCs w:val="24"/>
          <w:lang w:val="bg-BG" w:eastAsia="bg-BG"/>
        </w:rPr>
        <w:t xml:space="preserve"> </w:t>
      </w:r>
      <w:r w:rsidRPr="00385298">
        <w:rPr>
          <w:rFonts w:ascii="Times New Roman" w:eastAsia="Times New Roman" w:hAnsi="Times New Roman" w:cs="Times New Roman"/>
          <w:sz w:val="24"/>
          <w:szCs w:val="24"/>
          <w:lang w:val="bg-BG" w:eastAsia="bg-BG"/>
        </w:rPr>
        <w:t>Изпълнителна агенция по горите.</w:t>
      </w:r>
    </w:p>
    <w:p w:rsidR="00417CDB" w:rsidRPr="00385298" w:rsidRDefault="00417CDB" w:rsidP="00F72565">
      <w:pPr>
        <w:spacing w:after="0" w:line="240" w:lineRule="auto"/>
        <w:ind w:firstLine="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5. „НАЦИОНАЛЕН ЗЕМЕДЕЛСКИ ФОРУМ – ОСП след 2020“</w:t>
      </w:r>
    </w:p>
    <w:p w:rsidR="00C1366A" w:rsidRPr="00385298" w:rsidRDefault="00C1366A" w:rsidP="00F72565">
      <w:pPr>
        <w:spacing w:after="0" w:line="240" w:lineRule="auto"/>
        <w:ind w:firstLine="709"/>
        <w:jc w:val="both"/>
        <w:rPr>
          <w:rFonts w:ascii="Times New Roman" w:eastAsia="Times New Roman" w:hAnsi="Times New Roman" w:cs="Times New Roman"/>
          <w:sz w:val="24"/>
          <w:szCs w:val="24"/>
          <w:lang w:val="bg-BG" w:eastAsia="bg-BG"/>
        </w:rPr>
      </w:pPr>
    </w:p>
    <w:p w:rsidR="00C1366A" w:rsidRPr="00385298" w:rsidRDefault="00C1366A" w:rsidP="00F2624A">
      <w:pPr>
        <w:spacing w:after="0" w:line="240" w:lineRule="auto"/>
        <w:ind w:firstLine="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Съобразявайки се с обосноваността на направените предложения, изпратени от Министерството на туризма и Българската асоциация на консултантите по европейски програми по предложението на УО за изменение на критериите за оценка на проектни предложения по подмярка 6.4.1 „Инвестиции в подкрепа на неземеделски дейности“ от ПРСР 2014-2020 г. за прием 2023 г., и в съответствие с чл. 22 ал. 4 от Вътрешните правила за работа на КН на ПРСР 2014-2020 г, Председателят</w:t>
      </w:r>
      <w:r w:rsidR="00F2624A" w:rsidRPr="00385298">
        <w:rPr>
          <w:rFonts w:ascii="Times New Roman" w:eastAsia="Times New Roman" w:hAnsi="Times New Roman" w:cs="Times New Roman"/>
          <w:sz w:val="24"/>
          <w:szCs w:val="24"/>
          <w:lang w:val="bg-BG" w:eastAsia="bg-BG"/>
        </w:rPr>
        <w:t xml:space="preserve"> изпрати</w:t>
      </w:r>
      <w:r w:rsidRPr="00385298">
        <w:rPr>
          <w:rFonts w:ascii="Times New Roman" w:eastAsia="Times New Roman" w:hAnsi="Times New Roman" w:cs="Times New Roman"/>
          <w:sz w:val="24"/>
          <w:szCs w:val="24"/>
          <w:lang w:val="bg-BG" w:eastAsia="bg-BG"/>
        </w:rPr>
        <w:t xml:space="preserve"> чрез секретариата повторно</w:t>
      </w:r>
      <w:r w:rsidR="00F2624A" w:rsidRPr="00385298">
        <w:rPr>
          <w:rFonts w:ascii="Times New Roman" w:eastAsia="Times New Roman" w:hAnsi="Times New Roman" w:cs="Times New Roman"/>
          <w:sz w:val="24"/>
          <w:szCs w:val="24"/>
          <w:lang w:val="bg-BG" w:eastAsia="bg-BG"/>
        </w:rPr>
        <w:t xml:space="preserve"> актуализираното предложение на УО за разгле</w:t>
      </w:r>
      <w:r w:rsidR="00722DA5" w:rsidRPr="00385298">
        <w:rPr>
          <w:rFonts w:ascii="Times New Roman" w:eastAsia="Times New Roman" w:hAnsi="Times New Roman" w:cs="Times New Roman"/>
          <w:sz w:val="24"/>
          <w:szCs w:val="24"/>
          <w:lang w:val="bg-BG" w:eastAsia="bg-BG"/>
        </w:rPr>
        <w:t>ждане</w:t>
      </w:r>
      <w:r w:rsidR="00F2624A" w:rsidRPr="00385298">
        <w:rPr>
          <w:rFonts w:ascii="Times New Roman" w:eastAsia="Times New Roman" w:hAnsi="Times New Roman" w:cs="Times New Roman"/>
          <w:sz w:val="24"/>
          <w:szCs w:val="24"/>
          <w:lang w:val="bg-BG" w:eastAsia="bg-BG"/>
        </w:rPr>
        <w:t xml:space="preserve"> и гласува</w:t>
      </w:r>
      <w:r w:rsidR="00722DA5" w:rsidRPr="00385298">
        <w:rPr>
          <w:rFonts w:ascii="Times New Roman" w:eastAsia="Times New Roman" w:hAnsi="Times New Roman" w:cs="Times New Roman"/>
          <w:sz w:val="24"/>
          <w:szCs w:val="24"/>
          <w:lang w:val="bg-BG" w:eastAsia="bg-BG"/>
        </w:rPr>
        <w:t>не на</w:t>
      </w:r>
      <w:r w:rsidR="00F2624A" w:rsidRPr="00385298">
        <w:rPr>
          <w:rFonts w:ascii="Times New Roman" w:eastAsia="Times New Roman" w:hAnsi="Times New Roman" w:cs="Times New Roman"/>
          <w:sz w:val="24"/>
          <w:szCs w:val="24"/>
          <w:lang w:val="bg-BG" w:eastAsia="bg-BG"/>
        </w:rPr>
        <w:t xml:space="preserve"> актуализираното предложение на УО за изменение на критериите за оценка на проектни предложения по подмярка 6.4.1, </w:t>
      </w:r>
      <w:r w:rsidRPr="00385298">
        <w:rPr>
          <w:rFonts w:ascii="Times New Roman" w:eastAsia="Times New Roman" w:hAnsi="Times New Roman" w:cs="Times New Roman"/>
          <w:sz w:val="24"/>
          <w:szCs w:val="24"/>
          <w:lang w:val="bg-BG" w:eastAsia="bg-BG"/>
        </w:rPr>
        <w:t>като удължи писмената процедура до 05.06.2023 г.</w:t>
      </w:r>
    </w:p>
    <w:p w:rsidR="00F43B91" w:rsidRPr="00385298" w:rsidRDefault="00F43B91" w:rsidP="00F72565">
      <w:pPr>
        <w:spacing w:after="0" w:line="240" w:lineRule="auto"/>
        <w:ind w:firstLine="709"/>
        <w:jc w:val="both"/>
        <w:rPr>
          <w:rFonts w:ascii="Times New Roman" w:eastAsia="Times New Roman" w:hAnsi="Times New Roman" w:cs="Times New Roman"/>
          <w:sz w:val="24"/>
          <w:szCs w:val="24"/>
          <w:lang w:val="bg-BG" w:eastAsia="bg-BG"/>
        </w:rPr>
      </w:pPr>
    </w:p>
    <w:p w:rsidR="001D2B84" w:rsidRPr="00385298" w:rsidRDefault="001D2B84" w:rsidP="00F72565">
      <w:pPr>
        <w:spacing w:after="0" w:line="240" w:lineRule="auto"/>
        <w:ind w:firstLine="709"/>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Становищата и тяхното отразяване са дадени в </w:t>
      </w:r>
      <w:r w:rsidRPr="00385298">
        <w:rPr>
          <w:rFonts w:ascii="Times New Roman" w:eastAsia="Times New Roman" w:hAnsi="Times New Roman" w:cs="Times New Roman"/>
          <w:i/>
          <w:sz w:val="24"/>
          <w:szCs w:val="24"/>
          <w:u w:val="single"/>
          <w:lang w:val="bg-BG" w:eastAsia="bg-BG"/>
        </w:rPr>
        <w:t>Приложение 1.</w:t>
      </w:r>
    </w:p>
    <w:p w:rsidR="00894F38" w:rsidRPr="00385298" w:rsidRDefault="00894F38" w:rsidP="00F72565">
      <w:pPr>
        <w:spacing w:before="120" w:after="0" w:line="240" w:lineRule="auto"/>
        <w:ind w:firstLine="706"/>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b/>
          <w:sz w:val="24"/>
          <w:szCs w:val="24"/>
          <w:lang w:val="bg-BG" w:eastAsia="bg-BG"/>
        </w:rPr>
        <w:lastRenderedPageBreak/>
        <w:t xml:space="preserve">В резултат от проведената писмена процедура </w:t>
      </w:r>
      <w:r w:rsidR="00F2624A" w:rsidRPr="00385298">
        <w:rPr>
          <w:rFonts w:ascii="Times New Roman" w:eastAsia="Times New Roman" w:hAnsi="Times New Roman" w:cs="Times New Roman"/>
          <w:b/>
          <w:sz w:val="24"/>
          <w:szCs w:val="24"/>
          <w:lang w:val="bg-BG" w:eastAsia="bg-BG"/>
        </w:rPr>
        <w:t>и в съответствие с чл. 17, ал. 6</w:t>
      </w:r>
      <w:r w:rsidRPr="00385298">
        <w:rPr>
          <w:rFonts w:ascii="Times New Roman" w:eastAsia="Times New Roman" w:hAnsi="Times New Roman" w:cs="Times New Roman"/>
          <w:b/>
          <w:sz w:val="24"/>
          <w:szCs w:val="24"/>
          <w:lang w:val="bg-BG" w:eastAsia="bg-BG"/>
        </w:rPr>
        <w:t xml:space="preserve"> на ПМС № 79/2014 г. К</w:t>
      </w:r>
      <w:r w:rsidR="0084550F" w:rsidRPr="00385298">
        <w:rPr>
          <w:rFonts w:ascii="Times New Roman" w:eastAsia="Times New Roman" w:hAnsi="Times New Roman" w:cs="Times New Roman"/>
          <w:b/>
          <w:sz w:val="24"/>
          <w:szCs w:val="24"/>
          <w:lang w:val="bg-BG" w:eastAsia="bg-BG"/>
        </w:rPr>
        <w:t>омитетът по наблюдение</w:t>
      </w:r>
      <w:r w:rsidRPr="00385298">
        <w:rPr>
          <w:rFonts w:ascii="Times New Roman" w:eastAsia="Times New Roman" w:hAnsi="Times New Roman" w:cs="Times New Roman"/>
          <w:b/>
          <w:sz w:val="24"/>
          <w:szCs w:val="24"/>
          <w:lang w:val="bg-BG" w:eastAsia="bg-BG"/>
        </w:rPr>
        <w:t xml:space="preserve"> </w:t>
      </w:r>
      <w:r w:rsidR="0084550F" w:rsidRPr="00385298">
        <w:rPr>
          <w:rFonts w:ascii="Times New Roman" w:eastAsia="Times New Roman" w:hAnsi="Times New Roman" w:cs="Times New Roman"/>
          <w:b/>
          <w:sz w:val="24"/>
          <w:szCs w:val="24"/>
          <w:lang w:val="bg-BG" w:eastAsia="bg-BG"/>
        </w:rPr>
        <w:t>на ПРСР 2014-2020 г.</w:t>
      </w:r>
      <w:r w:rsidR="00014856" w:rsidRPr="00385298">
        <w:rPr>
          <w:rFonts w:ascii="Times New Roman" w:eastAsia="Times New Roman" w:hAnsi="Times New Roman" w:cs="Times New Roman"/>
          <w:b/>
          <w:sz w:val="24"/>
          <w:szCs w:val="24"/>
          <w:lang w:val="bg-BG" w:eastAsia="bg-BG"/>
        </w:rPr>
        <w:t xml:space="preserve"> взе следните</w:t>
      </w:r>
      <w:r w:rsidRPr="00385298">
        <w:rPr>
          <w:rFonts w:ascii="Times New Roman" w:eastAsia="Times New Roman" w:hAnsi="Times New Roman" w:cs="Times New Roman"/>
          <w:b/>
          <w:sz w:val="24"/>
          <w:szCs w:val="24"/>
          <w:lang w:val="bg-BG" w:eastAsia="bg-BG"/>
        </w:rPr>
        <w:t xml:space="preserve"> </w:t>
      </w:r>
      <w:r w:rsidR="00014856" w:rsidRPr="00385298">
        <w:rPr>
          <w:rFonts w:ascii="Times New Roman" w:eastAsia="Times New Roman" w:hAnsi="Times New Roman" w:cs="Times New Roman"/>
          <w:b/>
          <w:sz w:val="24"/>
          <w:szCs w:val="24"/>
          <w:u w:val="single"/>
          <w:lang w:val="bg-BG" w:eastAsia="bg-BG"/>
        </w:rPr>
        <w:t>РЕШЕНИЯ</w:t>
      </w:r>
      <w:r w:rsidRPr="00385298">
        <w:rPr>
          <w:rFonts w:ascii="Times New Roman" w:eastAsia="Times New Roman" w:hAnsi="Times New Roman" w:cs="Times New Roman"/>
          <w:sz w:val="24"/>
          <w:szCs w:val="24"/>
          <w:lang w:val="bg-BG" w:eastAsia="bg-BG"/>
        </w:rPr>
        <w:t>:</w:t>
      </w:r>
    </w:p>
    <w:p w:rsidR="007A5326" w:rsidRPr="00385298" w:rsidRDefault="007A5326" w:rsidP="00F72565">
      <w:pPr>
        <w:spacing w:after="0" w:line="240" w:lineRule="auto"/>
        <w:jc w:val="both"/>
        <w:outlineLvl w:val="0"/>
        <w:rPr>
          <w:rFonts w:ascii="Times New Roman" w:eastAsia="Times New Roman" w:hAnsi="Times New Roman" w:cs="Times New Roman"/>
          <w:sz w:val="24"/>
          <w:szCs w:val="24"/>
          <w:lang w:val="bg-BG" w:eastAsia="bg-BG"/>
        </w:rPr>
      </w:pPr>
    </w:p>
    <w:p w:rsidR="00014856" w:rsidRPr="00385298" w:rsidRDefault="00014856" w:rsidP="00F72565">
      <w:pPr>
        <w:spacing w:before="60" w:after="60" w:line="240" w:lineRule="auto"/>
        <w:ind w:right="51" w:firstLine="658"/>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1. Комитетът за наблюдение на ПРСР 2014-2020 г.</w:t>
      </w:r>
      <w:r w:rsidR="004F1538">
        <w:rPr>
          <w:rFonts w:ascii="Times New Roman" w:eastAsia="Times New Roman" w:hAnsi="Times New Roman" w:cs="Times New Roman"/>
          <w:sz w:val="24"/>
          <w:szCs w:val="24"/>
          <w:lang w:val="bg-BG"/>
        </w:rPr>
        <w:t xml:space="preserve"> одобрява следните </w:t>
      </w:r>
      <w:r w:rsidRPr="00385298">
        <w:rPr>
          <w:rFonts w:ascii="Times New Roman" w:eastAsia="Times New Roman" w:hAnsi="Times New Roman" w:cs="Times New Roman"/>
          <w:sz w:val="24"/>
          <w:szCs w:val="24"/>
          <w:lang w:val="bg-BG"/>
        </w:rPr>
        <w:t>предложения за включване към 16-то изменение на ПРСР 2014-2020 г. и упълномощава Управляващия орган на Програмата за развитие на селските райони 2014-2020 г. да ги изпрати официално  чрез SFC на Европейската комисия и да договори окончателния вариант на промените в преговорния процес с ЕК, както следва:</w:t>
      </w:r>
    </w:p>
    <w:p w:rsidR="00014856" w:rsidRPr="00385298" w:rsidRDefault="00014856" w:rsidP="00F72565">
      <w:pPr>
        <w:overflowPunct w:val="0"/>
        <w:autoSpaceDE w:val="0"/>
        <w:autoSpaceDN w:val="0"/>
        <w:adjustRightInd w:val="0"/>
        <w:spacing w:after="0" w:line="240" w:lineRule="auto"/>
        <w:ind w:left="658"/>
        <w:jc w:val="both"/>
        <w:textAlignment w:val="baseline"/>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1.1. Комитетът за наблюдение на ПРСР 2014-2020 г. одобрява предложението на УО за изменение в текста на подмярка 1.2 „Демонстрационни дейности и действия за осведомяване“ от ПРСР 2014-2020 г.</w:t>
      </w:r>
      <w:r w:rsidR="00AB6119" w:rsidRPr="00385298">
        <w:rPr>
          <w:rFonts w:ascii="Times New Roman" w:eastAsia="Times New Roman" w:hAnsi="Times New Roman" w:cs="Times New Roman"/>
          <w:sz w:val="24"/>
          <w:szCs w:val="24"/>
          <w:lang w:val="bg-BG"/>
        </w:rPr>
        <w:t xml:space="preserve"> (приложение 2)</w:t>
      </w:r>
      <w:r w:rsidR="006C264F" w:rsidRPr="00385298">
        <w:rPr>
          <w:rFonts w:ascii="Times New Roman" w:eastAsia="Times New Roman" w:hAnsi="Times New Roman" w:cs="Times New Roman"/>
          <w:sz w:val="24"/>
          <w:szCs w:val="24"/>
          <w:lang w:val="bg-BG"/>
        </w:rPr>
        <w:t>.</w:t>
      </w:r>
    </w:p>
    <w:p w:rsidR="00014856" w:rsidRPr="00385298" w:rsidRDefault="00014856" w:rsidP="00F72565">
      <w:pPr>
        <w:overflowPunct w:val="0"/>
        <w:autoSpaceDE w:val="0"/>
        <w:autoSpaceDN w:val="0"/>
        <w:adjustRightInd w:val="0"/>
        <w:spacing w:after="0" w:line="240" w:lineRule="auto"/>
        <w:ind w:left="658"/>
        <w:jc w:val="both"/>
        <w:textAlignment w:val="baseline"/>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1.2. Комитетът за наблюдение на ПРСР 2014-2020 г. одобрява изменение в текста на подмярка 4.3 „Подкрепа за инвестиции в инфраструктура“</w:t>
      </w:r>
      <w:r w:rsidR="00AB6119" w:rsidRPr="00385298">
        <w:rPr>
          <w:rFonts w:ascii="Times New Roman" w:eastAsia="Times New Roman" w:hAnsi="Times New Roman" w:cs="Times New Roman"/>
          <w:sz w:val="24"/>
          <w:szCs w:val="24"/>
          <w:lang w:val="bg-BG"/>
        </w:rPr>
        <w:t xml:space="preserve"> (приложение 3)</w:t>
      </w:r>
      <w:r w:rsidR="003C0A91">
        <w:rPr>
          <w:rFonts w:ascii="Times New Roman" w:eastAsia="Times New Roman" w:hAnsi="Times New Roman" w:cs="Times New Roman"/>
          <w:sz w:val="24"/>
          <w:szCs w:val="24"/>
          <w:lang w:val="bg-BG"/>
        </w:rPr>
        <w:t>.</w:t>
      </w:r>
    </w:p>
    <w:p w:rsidR="00014856" w:rsidRPr="00385298" w:rsidRDefault="00014856" w:rsidP="00F72565">
      <w:pPr>
        <w:overflowPunct w:val="0"/>
        <w:autoSpaceDE w:val="0"/>
        <w:autoSpaceDN w:val="0"/>
        <w:adjustRightInd w:val="0"/>
        <w:spacing w:after="0" w:line="240" w:lineRule="auto"/>
        <w:ind w:left="658"/>
        <w:jc w:val="both"/>
        <w:textAlignment w:val="baseline"/>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1.3. Комитетът за наблюдение на ПРСР 2014-2020 г. одобрява актуализираното предложение на УО за прехвърляне на средства между мерки, подмерки и фокус области от ПРСР 2014-2020 г.</w:t>
      </w:r>
      <w:r w:rsidR="006C264F" w:rsidRPr="00385298">
        <w:rPr>
          <w:rFonts w:ascii="Times New Roman" w:eastAsia="Times New Roman" w:hAnsi="Times New Roman" w:cs="Times New Roman"/>
          <w:sz w:val="24"/>
          <w:szCs w:val="24"/>
          <w:lang w:val="bg-BG"/>
        </w:rPr>
        <w:t xml:space="preserve"> </w:t>
      </w:r>
      <w:r w:rsidR="00AB6119" w:rsidRPr="00385298">
        <w:rPr>
          <w:rFonts w:ascii="Times New Roman" w:eastAsia="Times New Roman" w:hAnsi="Times New Roman" w:cs="Times New Roman"/>
          <w:sz w:val="24"/>
          <w:szCs w:val="24"/>
          <w:lang w:val="bg-BG"/>
        </w:rPr>
        <w:t>(приложение 4)</w:t>
      </w:r>
      <w:r w:rsidR="006C264F" w:rsidRPr="00385298">
        <w:rPr>
          <w:rFonts w:ascii="Times New Roman" w:eastAsia="Times New Roman" w:hAnsi="Times New Roman" w:cs="Times New Roman"/>
          <w:sz w:val="24"/>
          <w:szCs w:val="24"/>
          <w:lang w:val="bg-BG"/>
        </w:rPr>
        <w:t>.</w:t>
      </w:r>
    </w:p>
    <w:p w:rsidR="007D6383" w:rsidRPr="00385298" w:rsidRDefault="007D6383" w:rsidP="00F72565">
      <w:pPr>
        <w:spacing w:after="0" w:line="240" w:lineRule="auto"/>
        <w:ind w:left="658"/>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1.4. Комитетът за наблюдение на ПРСР 2014-2020 одобрява предложението на Управляващия орган за изменение в текста на мярка 4 „Инвестиции в материални активи“ относно процедура за избор на изпълнители по реда на Постановление № 160 от 1 юли 2016 г.</w:t>
      </w:r>
      <w:r w:rsidR="006C264F" w:rsidRPr="00385298">
        <w:rPr>
          <w:rFonts w:ascii="Times New Roman" w:hAnsi="Times New Roman" w:cs="Times New Roman"/>
          <w:sz w:val="24"/>
          <w:szCs w:val="24"/>
          <w:lang w:val="bg-BG"/>
        </w:rPr>
        <w:t xml:space="preserve"> </w:t>
      </w:r>
      <w:r w:rsidR="00AB6119" w:rsidRPr="00385298">
        <w:rPr>
          <w:rFonts w:ascii="Times New Roman" w:hAnsi="Times New Roman" w:cs="Times New Roman"/>
          <w:sz w:val="24"/>
          <w:szCs w:val="24"/>
          <w:lang w:val="bg-BG"/>
        </w:rPr>
        <w:t>(приложение 5)</w:t>
      </w:r>
      <w:r w:rsidR="006C264F" w:rsidRPr="00385298">
        <w:rPr>
          <w:rFonts w:ascii="Times New Roman" w:hAnsi="Times New Roman" w:cs="Times New Roman"/>
          <w:sz w:val="24"/>
          <w:szCs w:val="24"/>
          <w:lang w:val="bg-BG"/>
        </w:rPr>
        <w:t>.</w:t>
      </w:r>
    </w:p>
    <w:p w:rsidR="007D6383" w:rsidRPr="00385298" w:rsidRDefault="007D6383" w:rsidP="00F72565">
      <w:pPr>
        <w:spacing w:after="0" w:line="240" w:lineRule="auto"/>
        <w:ind w:left="658"/>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1.5. Комитетът за наблюдение на ПРСР 2014-2020 одобрява предложението на Управляващия орган за изменение в текста на подмярка 4.2 „Инвестиции в преработка/маркетинг на селскостопански продукти“ относно актуализиране на изискванията за поддържане съответствие с критериите за подбор</w:t>
      </w:r>
      <w:r w:rsidR="00AB6119" w:rsidRPr="00385298">
        <w:rPr>
          <w:rFonts w:ascii="Times New Roman" w:hAnsi="Times New Roman" w:cs="Times New Roman"/>
          <w:sz w:val="24"/>
          <w:szCs w:val="24"/>
          <w:lang w:val="bg-BG"/>
        </w:rPr>
        <w:t xml:space="preserve"> (приложение 6)</w:t>
      </w:r>
      <w:r w:rsidR="003C0A91">
        <w:rPr>
          <w:rFonts w:ascii="Times New Roman" w:hAnsi="Times New Roman" w:cs="Times New Roman"/>
          <w:sz w:val="24"/>
          <w:szCs w:val="24"/>
          <w:lang w:val="bg-BG"/>
        </w:rPr>
        <w:t>.</w:t>
      </w:r>
    </w:p>
    <w:p w:rsidR="002D7908" w:rsidRPr="004F1538" w:rsidRDefault="00014856" w:rsidP="004F1538">
      <w:pPr>
        <w:spacing w:line="240" w:lineRule="auto"/>
        <w:ind w:firstLine="658"/>
        <w:jc w:val="both"/>
        <w:rPr>
          <w:rFonts w:ascii="Times New Roman" w:hAnsi="Times New Roman" w:cs="Times New Roman"/>
          <w:sz w:val="24"/>
          <w:szCs w:val="24"/>
        </w:rPr>
      </w:pPr>
      <w:r w:rsidRPr="00385298">
        <w:rPr>
          <w:rFonts w:ascii="Times New Roman" w:eastAsia="Times New Roman" w:hAnsi="Times New Roman" w:cs="Times New Roman"/>
          <w:sz w:val="24"/>
          <w:szCs w:val="24"/>
          <w:lang w:val="bg-BG"/>
        </w:rPr>
        <w:t>2. Комитетът за наблюдение на ПРСР 2014-2020 г. одобрява</w:t>
      </w:r>
      <w:r w:rsidR="00F2624A" w:rsidRPr="00385298">
        <w:rPr>
          <w:rFonts w:ascii="Times New Roman" w:eastAsia="Times New Roman" w:hAnsi="Times New Roman" w:cs="Times New Roman"/>
          <w:sz w:val="24"/>
          <w:szCs w:val="24"/>
          <w:lang w:val="bg-BG"/>
        </w:rPr>
        <w:t xml:space="preserve"> актуализираното</w:t>
      </w:r>
      <w:r w:rsidRPr="00385298">
        <w:rPr>
          <w:rFonts w:ascii="Times New Roman" w:eastAsia="Times New Roman" w:hAnsi="Times New Roman" w:cs="Times New Roman"/>
          <w:sz w:val="24"/>
          <w:szCs w:val="24"/>
          <w:lang w:val="bg-BG"/>
        </w:rPr>
        <w:t xml:space="preserve"> предлож</w:t>
      </w:r>
      <w:r w:rsidR="00F2624A" w:rsidRPr="00385298">
        <w:rPr>
          <w:rFonts w:ascii="Times New Roman" w:eastAsia="Times New Roman" w:hAnsi="Times New Roman" w:cs="Times New Roman"/>
          <w:sz w:val="24"/>
          <w:szCs w:val="24"/>
          <w:lang w:val="bg-BG"/>
        </w:rPr>
        <w:t>ение</w:t>
      </w:r>
      <w:r w:rsidRPr="00385298">
        <w:rPr>
          <w:rFonts w:ascii="Times New Roman" w:eastAsia="Times New Roman" w:hAnsi="Times New Roman" w:cs="Times New Roman"/>
          <w:sz w:val="24"/>
          <w:szCs w:val="24"/>
          <w:lang w:val="bg-BG"/>
        </w:rPr>
        <w:t xml:space="preserve"> на УО за изменение на критериите за оценка на проектни предложения по подмярка 6.4.1 „Инвестиции в подкрепа на неземеделски дейности“ от ПРСР 2014-2020 г. за прием 2023 г.</w:t>
      </w:r>
      <w:r w:rsidR="00F2624A" w:rsidRPr="00385298">
        <w:rPr>
          <w:rFonts w:ascii="Times New Roman" w:eastAsia="Times New Roman" w:hAnsi="Times New Roman" w:cs="Times New Roman"/>
          <w:sz w:val="24"/>
          <w:szCs w:val="24"/>
          <w:lang w:val="bg-BG"/>
        </w:rPr>
        <w:t>,</w:t>
      </w:r>
      <w:r w:rsidR="00AB6119" w:rsidRPr="00385298">
        <w:rPr>
          <w:rFonts w:ascii="Times New Roman" w:eastAsia="Times New Roman" w:hAnsi="Times New Roman" w:cs="Times New Roman"/>
          <w:sz w:val="24"/>
          <w:szCs w:val="24"/>
          <w:lang w:val="bg-BG"/>
        </w:rPr>
        <w:t xml:space="preserve"> </w:t>
      </w:r>
      <w:r w:rsidR="007D35EB" w:rsidRPr="00385298">
        <w:rPr>
          <w:rFonts w:ascii="Times New Roman" w:eastAsia="Times New Roman" w:hAnsi="Times New Roman" w:cs="Times New Roman"/>
          <w:sz w:val="24"/>
          <w:szCs w:val="24"/>
          <w:lang w:val="bg-BG"/>
        </w:rPr>
        <w:t xml:space="preserve">като </w:t>
      </w:r>
      <w:r w:rsidR="007D35EB" w:rsidRPr="00385298">
        <w:rPr>
          <w:rFonts w:ascii="Times New Roman" w:hAnsi="Times New Roman" w:cs="Times New Roman"/>
          <w:sz w:val="24"/>
          <w:szCs w:val="24"/>
          <w:lang w:val="bg-BG"/>
        </w:rPr>
        <w:t>определени принципи</w:t>
      </w:r>
      <w:r w:rsidR="003C0A91">
        <w:rPr>
          <w:rFonts w:ascii="Times New Roman" w:hAnsi="Times New Roman" w:cs="Times New Roman"/>
          <w:sz w:val="24"/>
          <w:szCs w:val="24"/>
          <w:lang w:val="bg-BG"/>
        </w:rPr>
        <w:t>,</w:t>
      </w:r>
      <w:r w:rsidR="007D35EB" w:rsidRPr="00385298">
        <w:rPr>
          <w:rFonts w:ascii="Times New Roman" w:hAnsi="Times New Roman" w:cs="Times New Roman"/>
          <w:sz w:val="24"/>
          <w:szCs w:val="24"/>
          <w:lang w:val="bg-BG"/>
        </w:rPr>
        <w:t xml:space="preserve"> заложени в ПРСР за приоритетност няма да бъдат прилагани в рамките на предстоящия прием по подмя</w:t>
      </w:r>
      <w:r w:rsidR="004F1538">
        <w:rPr>
          <w:rFonts w:ascii="Times New Roman" w:hAnsi="Times New Roman" w:cs="Times New Roman"/>
          <w:sz w:val="24"/>
          <w:szCs w:val="24"/>
          <w:lang w:val="bg-BG"/>
        </w:rPr>
        <w:t>рката (приложение 7</w:t>
      </w:r>
      <w:r w:rsidR="004F1538">
        <w:rPr>
          <w:rFonts w:ascii="Times New Roman" w:hAnsi="Times New Roman" w:cs="Times New Roman"/>
          <w:sz w:val="24"/>
          <w:szCs w:val="24"/>
        </w:rPr>
        <w:t>)</w:t>
      </w:r>
    </w:p>
    <w:p w:rsidR="002D7908" w:rsidRDefault="002D7908" w:rsidP="00F75B5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2D7908" w:rsidRDefault="002D7908" w:rsidP="00F75B5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2D7908" w:rsidRPr="00385298" w:rsidRDefault="002D7908" w:rsidP="00F75B5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3D3883" w:rsidRPr="00385298" w:rsidRDefault="003D3883" w:rsidP="003D3883">
      <w:pPr>
        <w:spacing w:after="0" w:line="240" w:lineRule="auto"/>
        <w:ind w:left="-426" w:right="425"/>
        <w:rPr>
          <w:rFonts w:ascii="Times New Roman" w:eastAsia="Times New Roman" w:hAnsi="Times New Roman" w:cs="Times New Roman"/>
          <w:b/>
          <w:i/>
          <w:sz w:val="24"/>
          <w:szCs w:val="24"/>
          <w:u w:val="single"/>
          <w:lang w:val="bg-BG" w:eastAsia="bg-BG"/>
        </w:rPr>
      </w:pPr>
      <w:r w:rsidRPr="00385298">
        <w:rPr>
          <w:rFonts w:ascii="Times New Roman" w:eastAsia="Times New Roman" w:hAnsi="Times New Roman" w:cs="Times New Roman"/>
          <w:b/>
          <w:i/>
          <w:sz w:val="24"/>
          <w:szCs w:val="24"/>
          <w:u w:val="single"/>
          <w:lang w:val="bg-BG" w:eastAsia="bg-BG"/>
        </w:rPr>
        <w:t>Приложение 1.</w:t>
      </w:r>
    </w:p>
    <w:p w:rsidR="003D3883" w:rsidRPr="00385298" w:rsidRDefault="003D3883" w:rsidP="003D3883">
      <w:pPr>
        <w:spacing w:before="120" w:after="0" w:line="240" w:lineRule="auto"/>
        <w:ind w:left="-426" w:right="425"/>
        <w:jc w:val="both"/>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Справка за отразяване на становищата от участниците в работата на КН на ПРСР 2014-2020 г. по писмената процедура, проведена в периода 05-10.04.2023 г.</w:t>
      </w:r>
    </w:p>
    <w:p w:rsidR="003D3883" w:rsidRPr="00385298" w:rsidRDefault="003D3883" w:rsidP="003D3883">
      <w:pPr>
        <w:spacing w:before="120" w:after="0" w:line="240" w:lineRule="auto"/>
        <w:ind w:left="-426" w:right="425"/>
        <w:jc w:val="both"/>
        <w:rPr>
          <w:rFonts w:ascii="Times New Roman" w:eastAsia="Times New Roman" w:hAnsi="Times New Roman" w:cs="Times New Roman"/>
          <w:b/>
          <w:sz w:val="24"/>
          <w:szCs w:val="24"/>
          <w:lang w:val="bg-BG" w:eastAsia="bg-BG"/>
        </w:rPr>
      </w:pPr>
    </w:p>
    <w:tbl>
      <w:tblPr>
        <w:tblW w:w="55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725"/>
        <w:gridCol w:w="7043"/>
      </w:tblGrid>
      <w:tr w:rsidR="003D3883" w:rsidRPr="00385298" w:rsidTr="004F1538">
        <w:tc>
          <w:tcPr>
            <w:tcW w:w="664" w:type="pct"/>
            <w:vAlign w:val="center"/>
          </w:tcPr>
          <w:p w:rsidR="003D3883" w:rsidRPr="00385298" w:rsidRDefault="003D3883" w:rsidP="004B7675">
            <w:pPr>
              <w:spacing w:after="0" w:line="240" w:lineRule="auto"/>
              <w:jc w:val="center"/>
              <w:rPr>
                <w:rFonts w:ascii="Times New Roman" w:eastAsia="Times New Roman" w:hAnsi="Times New Roman" w:cs="Times New Roman"/>
                <w:b/>
                <w:sz w:val="24"/>
                <w:szCs w:val="24"/>
                <w:lang w:val="bg-BG" w:eastAsia="bg-BG"/>
              </w:rPr>
            </w:pPr>
          </w:p>
          <w:p w:rsidR="003D3883" w:rsidRPr="00385298" w:rsidRDefault="003D3883" w:rsidP="004B7675">
            <w:pPr>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lastRenderedPageBreak/>
              <w:t>Изпратено от</w:t>
            </w:r>
          </w:p>
          <w:p w:rsidR="003D3883" w:rsidRPr="00385298" w:rsidRDefault="003D3883" w:rsidP="004B7675">
            <w:pPr>
              <w:spacing w:after="0" w:line="240" w:lineRule="auto"/>
              <w:jc w:val="center"/>
              <w:rPr>
                <w:rFonts w:ascii="Times New Roman" w:eastAsia="Times New Roman" w:hAnsi="Times New Roman" w:cs="Times New Roman"/>
                <w:b/>
                <w:sz w:val="24"/>
                <w:szCs w:val="24"/>
                <w:lang w:val="bg-BG" w:eastAsia="bg-BG"/>
              </w:rPr>
            </w:pPr>
          </w:p>
        </w:tc>
        <w:tc>
          <w:tcPr>
            <w:tcW w:w="2118" w:type="pct"/>
            <w:vAlign w:val="center"/>
          </w:tcPr>
          <w:p w:rsidR="003D3883" w:rsidRPr="00385298" w:rsidRDefault="003D3883" w:rsidP="004B7675">
            <w:pPr>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lastRenderedPageBreak/>
              <w:t>Становище, коментар, препоръка, съгласуване</w:t>
            </w:r>
          </w:p>
        </w:tc>
        <w:tc>
          <w:tcPr>
            <w:tcW w:w="2217" w:type="pct"/>
            <w:vAlign w:val="center"/>
          </w:tcPr>
          <w:p w:rsidR="003D3883" w:rsidRPr="00385298" w:rsidRDefault="003D3883" w:rsidP="004B7675">
            <w:pPr>
              <w:spacing w:after="0" w:line="240" w:lineRule="auto"/>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Отразяване на становището</w:t>
            </w:r>
          </w:p>
        </w:tc>
      </w:tr>
      <w:tr w:rsidR="003D3883" w:rsidRPr="00385298" w:rsidTr="004F1538">
        <w:tc>
          <w:tcPr>
            <w:tcW w:w="5000" w:type="pct"/>
            <w:gridSpan w:val="3"/>
            <w:vAlign w:val="center"/>
          </w:tcPr>
          <w:p w:rsidR="003D3883" w:rsidRPr="00385298" w:rsidRDefault="003D3883" w:rsidP="004F1538">
            <w:pPr>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Становища, получени в периода 05-10.04.2023 г.</w:t>
            </w:r>
          </w:p>
          <w:p w:rsidR="003D3883" w:rsidRPr="00385298" w:rsidRDefault="003D3883" w:rsidP="004F1538">
            <w:pPr>
              <w:spacing w:after="0" w:line="240" w:lineRule="auto"/>
              <w:jc w:val="center"/>
              <w:rPr>
                <w:rFonts w:ascii="Times New Roman" w:eastAsia="Times New Roman" w:hAnsi="Times New Roman" w:cs="Times New Roman"/>
                <w:b/>
                <w:sz w:val="24"/>
                <w:szCs w:val="24"/>
                <w:lang w:val="bg-BG" w:eastAsia="bg-BG"/>
              </w:rPr>
            </w:pPr>
          </w:p>
        </w:tc>
      </w:tr>
      <w:tr w:rsidR="003D3883" w:rsidRPr="00385298" w:rsidTr="004F1538">
        <w:tc>
          <w:tcPr>
            <w:tcW w:w="664" w:type="pct"/>
            <w:vAlign w:val="center"/>
          </w:tcPr>
          <w:p w:rsidR="003D3883" w:rsidRPr="00385298" w:rsidRDefault="003D3883" w:rsidP="004B7675">
            <w:pPr>
              <w:spacing w:line="240" w:lineRule="auto"/>
              <w:jc w:val="both"/>
              <w:rPr>
                <w:rFonts w:ascii="Times New Roman" w:hAnsi="Times New Roman" w:cs="Times New Roman"/>
                <w:sz w:val="24"/>
                <w:szCs w:val="24"/>
                <w:lang w:val="bg-BG"/>
              </w:rPr>
            </w:pPr>
            <w:r w:rsidRPr="00385298">
              <w:rPr>
                <w:rFonts w:ascii="Times New Roman" w:eastAsia="Times New Roman" w:hAnsi="Times New Roman" w:cs="Times New Roman"/>
                <w:sz w:val="24"/>
                <w:szCs w:val="24"/>
                <w:lang w:val="bg-BG" w:eastAsia="bg-BG"/>
              </w:rPr>
              <w:t xml:space="preserve">Г-н Тодор Варгов – директор на дирекция </w:t>
            </w:r>
            <w:r w:rsidRPr="00385298">
              <w:rPr>
                <w:rFonts w:ascii="Times New Roman" w:hAnsi="Times New Roman" w:cs="Times New Roman"/>
                <w:sz w:val="24"/>
                <w:szCs w:val="24"/>
                <w:lang w:val="bg-BG"/>
              </w:rPr>
              <w:t>„Програмиране и управление на проекти“, Министерство на туризма</w:t>
            </w:r>
          </w:p>
          <w:p w:rsidR="003D3883" w:rsidRPr="00385298" w:rsidRDefault="003D3883" w:rsidP="004B7675">
            <w:pPr>
              <w:spacing w:after="0" w:line="240" w:lineRule="auto"/>
              <w:rPr>
                <w:rFonts w:ascii="Times New Roman" w:eastAsia="Times New Roman" w:hAnsi="Times New Roman" w:cs="Times New Roman"/>
                <w:sz w:val="24"/>
                <w:szCs w:val="24"/>
                <w:highlight w:val="yellow"/>
                <w:lang w:val="bg-BG" w:eastAsia="bg-BG"/>
              </w:rPr>
            </w:pPr>
          </w:p>
        </w:tc>
        <w:tc>
          <w:tcPr>
            <w:tcW w:w="2118" w:type="pct"/>
            <w:vAlign w:val="center"/>
          </w:tcPr>
          <w:p w:rsidR="003D3883" w:rsidRPr="00385298" w:rsidRDefault="003D3883" w:rsidP="004B7675">
            <w:pPr>
              <w:spacing w:line="240" w:lineRule="auto"/>
              <w:ind w:firstLine="720"/>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В </w:t>
            </w:r>
            <w:r w:rsidRPr="00385298">
              <w:rPr>
                <w:rFonts w:ascii="Times New Roman" w:hAnsi="Times New Roman" w:cs="Times New Roman"/>
                <w:b/>
                <w:sz w:val="24"/>
                <w:szCs w:val="24"/>
                <w:lang w:val="bg-BG"/>
              </w:rPr>
              <w:t>ИГРП за 2023 г.</w:t>
            </w:r>
            <w:r w:rsidRPr="00385298">
              <w:rPr>
                <w:rFonts w:ascii="Times New Roman" w:hAnsi="Times New Roman" w:cs="Times New Roman"/>
                <w:sz w:val="24"/>
                <w:szCs w:val="24"/>
                <w:lang w:val="bg-BG"/>
              </w:rPr>
              <w:t xml:space="preserve"> на </w:t>
            </w:r>
            <w:r w:rsidRPr="00385298">
              <w:rPr>
                <w:rFonts w:ascii="Times New Roman" w:hAnsi="Times New Roman" w:cs="Times New Roman"/>
                <w:b/>
                <w:sz w:val="24"/>
                <w:szCs w:val="24"/>
                <w:lang w:val="bg-BG"/>
              </w:rPr>
              <w:t xml:space="preserve">Програмата за  развитие на селските райони 2014-2020 г. </w:t>
            </w:r>
            <w:r w:rsidRPr="00385298">
              <w:rPr>
                <w:rFonts w:ascii="Times New Roman" w:hAnsi="Times New Roman" w:cs="Times New Roman"/>
                <w:sz w:val="24"/>
                <w:szCs w:val="24"/>
                <w:lang w:val="bg-BG"/>
              </w:rPr>
              <w:t xml:space="preserve">е предвиден прием по </w:t>
            </w:r>
            <w:r w:rsidRPr="00385298">
              <w:rPr>
                <w:rFonts w:ascii="Times New Roman" w:hAnsi="Times New Roman" w:cs="Times New Roman"/>
                <w:b/>
                <w:sz w:val="24"/>
                <w:szCs w:val="24"/>
                <w:lang w:val="bg-BG"/>
              </w:rPr>
              <w:t>подмярка 6.4.1 „Инвестиции в подкрепа на неземеделски дейности“</w:t>
            </w:r>
            <w:r w:rsidRPr="00385298">
              <w:rPr>
                <w:rFonts w:ascii="Times New Roman" w:hAnsi="Times New Roman" w:cs="Times New Roman"/>
                <w:sz w:val="24"/>
                <w:szCs w:val="24"/>
                <w:lang w:val="bg-BG"/>
              </w:rPr>
              <w:t xml:space="preserve">. В предложените за обсъждане и приемане </w:t>
            </w:r>
            <w:r w:rsidRPr="00385298">
              <w:rPr>
                <w:rFonts w:ascii="Times New Roman" w:hAnsi="Times New Roman" w:cs="Times New Roman"/>
                <w:b/>
                <w:sz w:val="24"/>
                <w:szCs w:val="24"/>
                <w:lang w:val="bg-BG"/>
              </w:rPr>
              <w:t>„Критерии за оценка на проектни предложения“ по подмярката</w:t>
            </w:r>
            <w:r w:rsidRPr="00385298">
              <w:rPr>
                <w:rFonts w:ascii="Times New Roman" w:hAnsi="Times New Roman" w:cs="Times New Roman"/>
                <w:sz w:val="24"/>
                <w:szCs w:val="24"/>
                <w:lang w:val="bg-BG"/>
              </w:rPr>
              <w:t xml:space="preserve">, критерий 3 „Проектни предложения в секторите, посочени в Приложение № ….. към условията за кандидатстване (критерий за оценка № 3.1)“ е посочено, че  „Точки по критерия получават кандидати, чиито проектни предложения попадат изцяло в един или повече от изброените в приложението раздели и приходите в бизнес плана по проектното предложение се реализират изцяло от тези сектори – 5 точки.“. В  </w:t>
            </w:r>
            <w:r w:rsidRPr="00385298">
              <w:rPr>
                <w:rFonts w:ascii="Times New Roman" w:hAnsi="Times New Roman" w:cs="Times New Roman"/>
                <w:b/>
                <w:sz w:val="24"/>
                <w:szCs w:val="24"/>
                <w:lang w:val="bg-BG"/>
              </w:rPr>
              <w:t>„Приложение № …. към условията за кандидатстване“</w:t>
            </w:r>
            <w:r w:rsidRPr="00385298">
              <w:rPr>
                <w:rFonts w:ascii="Times New Roman" w:hAnsi="Times New Roman" w:cs="Times New Roman"/>
                <w:sz w:val="24"/>
                <w:szCs w:val="24"/>
                <w:lang w:val="bg-BG"/>
              </w:rPr>
              <w:t xml:space="preserve"> от КИД-2008 в сферата на туризма са включени само такива с код на икономическа дейност I 56.10 „Дейност на ресторанти и заведения за бързо обслужване“ и R 93 „Спортни и други дейности, свързани с развлечения и отдих“ като извън обхвата на приложението попадат огромната част от туристическите дейности. Изключването на предприятията от сектор „Туризъм“ от приложението към критерий 3 ще ги лиши от възможността да получат 5 точки, което може да е фатално при селектирането на проектните предложения за финансиране.</w:t>
            </w:r>
          </w:p>
          <w:p w:rsidR="003D3883" w:rsidRPr="00385298" w:rsidRDefault="003D3883" w:rsidP="004B7675">
            <w:pPr>
              <w:spacing w:line="240" w:lineRule="auto"/>
              <w:ind w:firstLine="720"/>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Считаме, че </w:t>
            </w:r>
            <w:r w:rsidRPr="00385298">
              <w:rPr>
                <w:rFonts w:ascii="Times New Roman" w:hAnsi="Times New Roman" w:cs="Times New Roman"/>
                <w:b/>
                <w:sz w:val="24"/>
                <w:szCs w:val="24"/>
                <w:lang w:val="bg-BG"/>
              </w:rPr>
              <w:t>развитието на услуги в сектора на туризма и свързаните с него дейности имат огромно значение за разнообразяване на икономиката на селските райони</w:t>
            </w:r>
            <w:r w:rsidRPr="00385298">
              <w:rPr>
                <w:rFonts w:ascii="Times New Roman" w:hAnsi="Times New Roman" w:cs="Times New Roman"/>
                <w:sz w:val="24"/>
                <w:szCs w:val="24"/>
                <w:lang w:val="bg-BG"/>
              </w:rPr>
              <w:t xml:space="preserve">. Министерството на туризма провежда </w:t>
            </w:r>
            <w:r w:rsidRPr="00385298">
              <w:rPr>
                <w:rFonts w:ascii="Times New Roman" w:hAnsi="Times New Roman" w:cs="Times New Roman"/>
                <w:b/>
                <w:sz w:val="24"/>
                <w:szCs w:val="24"/>
                <w:lang w:val="bg-BG"/>
              </w:rPr>
              <w:t>политика за устойчиво развитие на туризма в страната</w:t>
            </w:r>
            <w:r w:rsidRPr="00385298">
              <w:rPr>
                <w:rFonts w:ascii="Times New Roman" w:hAnsi="Times New Roman" w:cs="Times New Roman"/>
                <w:sz w:val="24"/>
                <w:szCs w:val="24"/>
                <w:lang w:val="bg-BG"/>
              </w:rPr>
              <w:t xml:space="preserve"> като полага усилия за насърчаване </w:t>
            </w:r>
            <w:r w:rsidRPr="00385298">
              <w:rPr>
                <w:rFonts w:ascii="Times New Roman" w:hAnsi="Times New Roman" w:cs="Times New Roman"/>
                <w:b/>
                <w:sz w:val="24"/>
                <w:szCs w:val="24"/>
                <w:lang w:val="bg-BG"/>
              </w:rPr>
              <w:t>развитието на специализираните форми на туризъм</w:t>
            </w:r>
            <w:r w:rsidRPr="00385298">
              <w:rPr>
                <w:rFonts w:ascii="Times New Roman" w:hAnsi="Times New Roman" w:cs="Times New Roman"/>
                <w:sz w:val="24"/>
                <w:szCs w:val="24"/>
                <w:lang w:val="bg-BG"/>
              </w:rPr>
              <w:t xml:space="preserve"> (културен, селски, екологичен, здравен, </w:t>
            </w:r>
            <w:r w:rsidRPr="00385298">
              <w:rPr>
                <w:rFonts w:ascii="Times New Roman" w:hAnsi="Times New Roman" w:cs="Times New Roman"/>
                <w:sz w:val="24"/>
                <w:szCs w:val="24"/>
                <w:lang w:val="bg-BG"/>
              </w:rPr>
              <w:lastRenderedPageBreak/>
              <w:t>спортен, кулинарен, религиозен и др.) във вътрешността на страната с целогодишна насоченост. В периода след пандемията от Covid-19 и военните действия в Украйна, туристическият сектор в страната е един от най-потърпевшите. Същевременно, преосмислянето на концепциите за развитие на туризма в световен мащаб доведе до нови тенденции и търсене на устойчиви, екологични форми на туризъм и пътуване, на по-чисти и отдалечени райони и места за настаняване, което ни дава шанс за привличане на нови категории туристи, развиване на иновативни туристически дейности, вкл. рекламни и маркетингови дейности за популяризиране на местни туристически услуги или обекти, и повишаване както на конкурентоспособността на микро туристическите предприятия, така и на България като туристическа дестинация на световния туристически пазар.</w:t>
            </w:r>
          </w:p>
          <w:p w:rsidR="003D3883" w:rsidRPr="00385298" w:rsidRDefault="003D3883" w:rsidP="004B7675">
            <w:pPr>
              <w:spacing w:line="240" w:lineRule="auto"/>
              <w:ind w:firstLine="720"/>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Към момента шанс за реализирането на малки по мащаби проекти, които обаче, биха могли да допринесат съществено за развитието на специализираните видове туризъм, да привлекат нови категории туристи във вътрешността на страната, да допринесат за икономиката и благосъстоянието на местните общности, вкл. и за минимизирането на процеса на обезлюдяване в селските райони, са средствата, предоставяни от европейските фондове. Считаме, че подмярка 6.4.1 „Инвестиции в подкрепа на неземеделски дейности“ дава реална възможност за подкрепа на земеделски стопани или микропредприятия за финансирането на проекти в областта на туризма и свързаните с него дейности, което да допринесе както за постигане на целите на устойчивото развитие на туризма, така и за постигане на целите, свързани с разнообразяване на икономиката на селските райони.</w:t>
            </w:r>
          </w:p>
          <w:p w:rsidR="003D3883" w:rsidRPr="00385298" w:rsidRDefault="003D3883" w:rsidP="004B7675">
            <w:pPr>
              <w:spacing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ab/>
              <w:t xml:space="preserve">Съгласно, одобрената от Европейската комисия, </w:t>
            </w:r>
            <w:r w:rsidRPr="00385298">
              <w:rPr>
                <w:rFonts w:ascii="Times New Roman" w:hAnsi="Times New Roman" w:cs="Times New Roman"/>
                <w:b/>
                <w:sz w:val="24"/>
                <w:szCs w:val="24"/>
                <w:lang w:val="bg-BG"/>
              </w:rPr>
              <w:t>Програма за развитие на селските райони 2014-2020 г.</w:t>
            </w:r>
            <w:r w:rsidRPr="00385298">
              <w:rPr>
                <w:rFonts w:ascii="Times New Roman" w:hAnsi="Times New Roman" w:cs="Times New Roman"/>
                <w:sz w:val="24"/>
                <w:szCs w:val="24"/>
                <w:lang w:val="bg-BG"/>
              </w:rPr>
              <w:t xml:space="preserve">, един от основните проблеми в селските райони на България е слабото развитие и ниска динамика на неземеделските сектори на икономиката. SWOT анализът показва неоползотворени съществуващи и нововъзникващи възможности за развитие на неземеделските сектори в областта на преработката на земеделски и горски продукти, оползотворяване на отпадъците, </w:t>
            </w:r>
            <w:r w:rsidRPr="00385298">
              <w:rPr>
                <w:rFonts w:ascii="Times New Roman" w:hAnsi="Times New Roman" w:cs="Times New Roman"/>
                <w:b/>
                <w:sz w:val="24"/>
                <w:szCs w:val="24"/>
                <w:lang w:val="bg-BG"/>
              </w:rPr>
              <w:t>туризма</w:t>
            </w:r>
            <w:r w:rsidRPr="00385298">
              <w:rPr>
                <w:rFonts w:ascii="Times New Roman" w:hAnsi="Times New Roman" w:cs="Times New Roman"/>
                <w:sz w:val="24"/>
                <w:szCs w:val="24"/>
                <w:lang w:val="bg-BG"/>
              </w:rPr>
              <w:t xml:space="preserve">, зелената икономика и услуги, информационните и комуникационни технологии, и др. В изпълнение на целите на </w:t>
            </w:r>
            <w:r w:rsidRPr="00385298">
              <w:rPr>
                <w:rFonts w:ascii="Times New Roman" w:hAnsi="Times New Roman" w:cs="Times New Roman"/>
                <w:b/>
                <w:sz w:val="24"/>
                <w:szCs w:val="24"/>
                <w:lang w:val="bg-BG"/>
              </w:rPr>
              <w:t>Стратегията Европа 2020</w:t>
            </w:r>
            <w:r w:rsidRPr="00385298">
              <w:rPr>
                <w:rFonts w:ascii="Times New Roman" w:hAnsi="Times New Roman" w:cs="Times New Roman"/>
                <w:sz w:val="24"/>
                <w:szCs w:val="24"/>
                <w:lang w:val="bg-BG"/>
              </w:rPr>
              <w:t xml:space="preserve"> и тематичните цели на </w:t>
            </w:r>
            <w:r w:rsidRPr="00385298">
              <w:rPr>
                <w:rFonts w:ascii="Times New Roman" w:hAnsi="Times New Roman" w:cs="Times New Roman"/>
                <w:b/>
                <w:sz w:val="24"/>
                <w:szCs w:val="24"/>
                <w:lang w:val="bg-BG"/>
              </w:rPr>
              <w:t>Общата стратегическа рамка,</w:t>
            </w:r>
            <w:r w:rsidRPr="00385298">
              <w:rPr>
                <w:rFonts w:ascii="Times New Roman" w:hAnsi="Times New Roman" w:cs="Times New Roman"/>
                <w:sz w:val="24"/>
                <w:szCs w:val="24"/>
                <w:lang w:val="bg-BG"/>
              </w:rPr>
              <w:t xml:space="preserve"> разнообразяването на икономиката се основава на оползотворяването на възможностите за развитие на зелената икономика, повишеното </w:t>
            </w:r>
            <w:r w:rsidRPr="00385298">
              <w:rPr>
                <w:rFonts w:ascii="Times New Roman" w:hAnsi="Times New Roman" w:cs="Times New Roman"/>
                <w:b/>
                <w:sz w:val="24"/>
                <w:szCs w:val="24"/>
                <w:lang w:val="bg-BG"/>
              </w:rPr>
              <w:t>търсене на туристически услуги за селски, еко и културен туризъм</w:t>
            </w:r>
            <w:r w:rsidRPr="00385298">
              <w:rPr>
                <w:rFonts w:ascii="Times New Roman" w:hAnsi="Times New Roman" w:cs="Times New Roman"/>
                <w:sz w:val="24"/>
                <w:szCs w:val="24"/>
                <w:lang w:val="bg-BG"/>
              </w:rPr>
              <w:t xml:space="preserve">, информационните и комуникационни технологии. Съгласно </w:t>
            </w:r>
            <w:r w:rsidRPr="00385298">
              <w:rPr>
                <w:rFonts w:ascii="Times New Roman" w:hAnsi="Times New Roman" w:cs="Times New Roman"/>
                <w:b/>
                <w:sz w:val="24"/>
                <w:szCs w:val="24"/>
                <w:lang w:val="bg-BG"/>
              </w:rPr>
              <w:t>Стратегията за устойчиво развитие на туризма, хоризонт 2030</w:t>
            </w:r>
            <w:r w:rsidRPr="00385298">
              <w:rPr>
                <w:rFonts w:ascii="Times New Roman" w:hAnsi="Times New Roman" w:cs="Times New Roman"/>
                <w:sz w:val="24"/>
                <w:szCs w:val="24"/>
                <w:lang w:val="bg-BG"/>
              </w:rPr>
              <w:t xml:space="preserve">, изпълнението на </w:t>
            </w:r>
            <w:r w:rsidRPr="00385298">
              <w:rPr>
                <w:rFonts w:ascii="Times New Roman" w:hAnsi="Times New Roman" w:cs="Times New Roman"/>
                <w:b/>
                <w:sz w:val="24"/>
                <w:szCs w:val="24"/>
                <w:lang w:val="bg-BG"/>
              </w:rPr>
              <w:t>туристически дейности в селските райони</w:t>
            </w:r>
            <w:r w:rsidRPr="00385298">
              <w:rPr>
                <w:rFonts w:ascii="Times New Roman" w:hAnsi="Times New Roman" w:cs="Times New Roman"/>
                <w:sz w:val="24"/>
                <w:szCs w:val="24"/>
                <w:lang w:val="bg-BG"/>
              </w:rPr>
              <w:t xml:space="preserve"> ще спомогне за утвърждаване на селската туристическа индустрия като устойчив източник на алтернативна трудова заетост в селското стопанство и възможност за допълнителни доходи. Включването</w:t>
            </w:r>
            <w:r w:rsidRPr="00385298">
              <w:rPr>
                <w:rFonts w:ascii="Times New Roman" w:hAnsi="Times New Roman" w:cs="Times New Roman"/>
                <w:color w:val="FF0000"/>
                <w:sz w:val="24"/>
                <w:szCs w:val="24"/>
                <w:lang w:val="bg-BG"/>
              </w:rPr>
              <w:t xml:space="preserve"> </w:t>
            </w:r>
            <w:r w:rsidRPr="00385298">
              <w:rPr>
                <w:rFonts w:ascii="Times New Roman" w:hAnsi="Times New Roman" w:cs="Times New Roman"/>
                <w:sz w:val="24"/>
                <w:szCs w:val="24"/>
                <w:lang w:val="bg-BG"/>
              </w:rPr>
              <w:t xml:space="preserve">на дейности от </w:t>
            </w:r>
            <w:r w:rsidRPr="00385298">
              <w:rPr>
                <w:rFonts w:ascii="Times New Roman" w:hAnsi="Times New Roman" w:cs="Times New Roman"/>
                <w:b/>
                <w:sz w:val="24"/>
                <w:szCs w:val="24"/>
                <w:lang w:val="bg-BG"/>
              </w:rPr>
              <w:t xml:space="preserve">сектор „Туризъм“ в подмярка 6.4.1 „Инвестиции в подкрепа на неземеделски дейности“  </w:t>
            </w:r>
            <w:r w:rsidRPr="00385298">
              <w:rPr>
                <w:rFonts w:ascii="Times New Roman" w:hAnsi="Times New Roman" w:cs="Times New Roman"/>
                <w:sz w:val="24"/>
                <w:szCs w:val="24"/>
                <w:lang w:val="bg-BG"/>
              </w:rPr>
              <w:t xml:space="preserve">ще допринесе за изпълнение на основните цели на </w:t>
            </w:r>
            <w:r w:rsidRPr="00385298">
              <w:rPr>
                <w:rFonts w:ascii="Times New Roman" w:hAnsi="Times New Roman" w:cs="Times New Roman"/>
                <w:b/>
                <w:sz w:val="24"/>
                <w:szCs w:val="24"/>
                <w:lang w:val="bg-BG"/>
              </w:rPr>
              <w:t>Стратегия за устойчиво развитие на туризма в Република България 2014-2020 г.</w:t>
            </w:r>
            <w:r w:rsidRPr="00385298">
              <w:rPr>
                <w:rFonts w:ascii="Times New Roman" w:hAnsi="Times New Roman" w:cs="Times New Roman"/>
                <w:sz w:val="24"/>
                <w:szCs w:val="24"/>
                <w:lang w:val="bg-BG"/>
              </w:rPr>
              <w:t>, а именно:</w:t>
            </w:r>
          </w:p>
          <w:p w:rsidR="003D3883" w:rsidRPr="00385298" w:rsidRDefault="003D3883" w:rsidP="004B7675">
            <w:pPr>
              <w:numPr>
                <w:ilvl w:val="0"/>
                <w:numId w:val="5"/>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b/>
                <w:sz w:val="24"/>
                <w:szCs w:val="24"/>
                <w:lang w:val="bg-BG"/>
              </w:rPr>
              <w:t>Насърчаване на вътрешния пазар</w:t>
            </w:r>
            <w:r w:rsidRPr="00385298">
              <w:rPr>
                <w:rFonts w:ascii="Times New Roman" w:hAnsi="Times New Roman" w:cs="Times New Roman"/>
                <w:sz w:val="24"/>
                <w:szCs w:val="24"/>
                <w:lang w:val="bg-BG"/>
              </w:rPr>
              <w:t xml:space="preserve"> – структуриране на политики в подкрепа на развитието и позиционирането на продукти, отговарящи на вътрешните пазарни тенденции;</w:t>
            </w:r>
          </w:p>
          <w:p w:rsidR="003D3883" w:rsidRPr="00385298" w:rsidRDefault="003D3883" w:rsidP="004B7675">
            <w:pPr>
              <w:numPr>
                <w:ilvl w:val="0"/>
                <w:numId w:val="5"/>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b/>
                <w:sz w:val="24"/>
                <w:szCs w:val="24"/>
                <w:lang w:val="bg-BG"/>
              </w:rPr>
              <w:t xml:space="preserve">Стимулиране ролята на туризма като решаващ фактор за развитието на пазара на труда </w:t>
            </w:r>
            <w:r w:rsidRPr="00385298">
              <w:rPr>
                <w:rFonts w:ascii="Times New Roman" w:hAnsi="Times New Roman" w:cs="Times New Roman"/>
                <w:sz w:val="24"/>
                <w:szCs w:val="24"/>
                <w:lang w:val="bg-BG"/>
              </w:rPr>
              <w:t xml:space="preserve">чрез повишаване </w:t>
            </w:r>
            <w:r w:rsidRPr="00385298">
              <w:rPr>
                <w:rFonts w:ascii="Times New Roman" w:hAnsi="Times New Roman" w:cs="Times New Roman"/>
                <w:sz w:val="24"/>
                <w:szCs w:val="24"/>
                <w:lang w:val="bg-BG"/>
              </w:rPr>
              <w:lastRenderedPageBreak/>
              <w:t>квалификацията, производителността и адаптивността на работната сила.</w:t>
            </w:r>
          </w:p>
          <w:p w:rsidR="003D3883" w:rsidRPr="00385298" w:rsidRDefault="003D3883" w:rsidP="004B7675">
            <w:pPr>
              <w:spacing w:line="240" w:lineRule="auto"/>
              <w:ind w:firstLine="284"/>
              <w:contextualSpacing/>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С оглед на горепосоченото, </w:t>
            </w:r>
            <w:r w:rsidRPr="00385298">
              <w:rPr>
                <w:rFonts w:ascii="Times New Roman" w:hAnsi="Times New Roman" w:cs="Times New Roman"/>
                <w:bCs/>
                <w:sz w:val="24"/>
                <w:szCs w:val="24"/>
                <w:lang w:val="bg-BG"/>
              </w:rPr>
              <w:t xml:space="preserve">предлагаме </w:t>
            </w:r>
            <w:r w:rsidRPr="00385298">
              <w:rPr>
                <w:rFonts w:ascii="Times New Roman" w:hAnsi="Times New Roman" w:cs="Times New Roman"/>
                <w:b/>
                <w:bCs/>
                <w:sz w:val="24"/>
                <w:szCs w:val="24"/>
                <w:lang w:val="bg-BG"/>
              </w:rPr>
              <w:t>предприятия с основна дейност в долупосочените кодове от Класификацията на икономическите дейности (КИД-2008) в областта на туризма и свързаните с него дейности да бъдат допълнени в Приложението към критерий 3 и да бъдат допустими за подкрепа</w:t>
            </w:r>
            <w:r w:rsidRPr="00385298">
              <w:rPr>
                <w:rFonts w:ascii="Times New Roman" w:hAnsi="Times New Roman" w:cs="Times New Roman"/>
                <w:bCs/>
                <w:sz w:val="24"/>
                <w:szCs w:val="24"/>
                <w:lang w:val="bg-BG"/>
              </w:rPr>
              <w:t>, а именно:</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За „Хотелиерство“ – КОД: 55.1 „Хотели и подобни места за настаняване“, 55.2 „Туристическо и друго краткосрочно настаняване“, 55.3 „Къмпинги и терени за каравани и къмпинг-автомобили“, 55.9 „Други места за настаняване“; </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За „Ресторантьорство“ – 56.2 „Приготвяне и доставяне на храна“, 56.3 „Дейност на питейни заведения“; </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За „Туроператорска дейност“ – КОД: 79.1 „Туристическа агентска и операторска дейност“, 79.9 „Други дейности, свързани с пътувания и резервации“; </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За „Организиране на конгреси и търговски изложения“ – КОД: 82.3; </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За „Други дейности по хуманно здравеопазване“ – КОД: 86.9; </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За „Експлоатация на зали за представления“ – КОД: 90.04; </w:t>
            </w:r>
          </w:p>
          <w:p w:rsidR="003D3883" w:rsidRPr="00385298" w:rsidRDefault="003D3883" w:rsidP="004B7675">
            <w:pPr>
              <w:numPr>
                <w:ilvl w:val="0"/>
                <w:numId w:val="6"/>
              </w:numPr>
              <w:overflowPunct w:val="0"/>
              <w:autoSpaceDE w:val="0"/>
              <w:autoSpaceDN w:val="0"/>
              <w:adjustRightInd w:val="0"/>
              <w:spacing w:after="0" w:line="240" w:lineRule="auto"/>
              <w:ind w:left="284" w:firstLine="850"/>
              <w:contextualSpacing/>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За „Поддържане на добро физическо състояние“ – КОД: 96.04</w:t>
            </w:r>
          </w:p>
          <w:p w:rsidR="003D3883" w:rsidRPr="00385298" w:rsidRDefault="003D3883" w:rsidP="004B7675">
            <w:pPr>
              <w:spacing w:after="0" w:line="240" w:lineRule="auto"/>
              <w:jc w:val="both"/>
              <w:rPr>
                <w:rFonts w:ascii="Times New Roman" w:eastAsia="Times New Roman" w:hAnsi="Times New Roman" w:cs="Times New Roman"/>
                <w:sz w:val="24"/>
                <w:szCs w:val="24"/>
                <w:highlight w:val="yellow"/>
                <w:lang w:val="bg-BG" w:eastAsia="bg-BG"/>
              </w:rPr>
            </w:pPr>
          </w:p>
        </w:tc>
        <w:tc>
          <w:tcPr>
            <w:tcW w:w="2217" w:type="pct"/>
            <w:vAlign w:val="center"/>
          </w:tcPr>
          <w:p w:rsidR="003D3883" w:rsidRPr="00385298" w:rsidRDefault="003D3883" w:rsidP="004B7675">
            <w:pPr>
              <w:spacing w:after="0" w:line="240" w:lineRule="auto"/>
              <w:jc w:val="both"/>
              <w:rPr>
                <w:rFonts w:ascii="Times New Roman" w:eastAsia="Times New Roman" w:hAnsi="Times New Roman" w:cs="Times New Roman"/>
                <w:sz w:val="24"/>
                <w:szCs w:val="24"/>
                <w:highlight w:val="yellow"/>
                <w:lang w:val="bg-BG" w:eastAsia="bg-BG"/>
              </w:rPr>
            </w:pPr>
            <w:r w:rsidRPr="00385298">
              <w:rPr>
                <w:rFonts w:ascii="Times New Roman" w:eastAsia="Times New Roman" w:hAnsi="Times New Roman" w:cs="Times New Roman"/>
                <w:sz w:val="24"/>
                <w:szCs w:val="24"/>
                <w:lang w:val="bg-BG" w:eastAsia="bg-BG"/>
              </w:rPr>
              <w:lastRenderedPageBreak/>
              <w:t>Приема се по принцип.</w:t>
            </w:r>
          </w:p>
        </w:tc>
      </w:tr>
      <w:tr w:rsidR="003D3883" w:rsidRPr="00385298" w:rsidTr="004F1538">
        <w:tc>
          <w:tcPr>
            <w:tcW w:w="664" w:type="pct"/>
            <w:vAlign w:val="center"/>
          </w:tcPr>
          <w:p w:rsidR="003D3883" w:rsidRPr="00385298" w:rsidRDefault="003D3883" w:rsidP="004B7675">
            <w:pPr>
              <w:spacing w:after="0" w:line="240" w:lineRule="auto"/>
              <w:rPr>
                <w:rFonts w:ascii="Times New Roman" w:eastAsia="Times New Roman" w:hAnsi="Times New Roman" w:cs="Times New Roman"/>
                <w:sz w:val="24"/>
                <w:szCs w:val="24"/>
                <w:highlight w:val="yellow"/>
                <w:lang w:val="bg-BG" w:eastAsia="bg-BG"/>
              </w:rPr>
            </w:pPr>
            <w:r w:rsidRPr="00385298">
              <w:rPr>
                <w:rFonts w:ascii="Times New Roman" w:eastAsia="Times New Roman" w:hAnsi="Times New Roman" w:cs="Times New Roman"/>
                <w:sz w:val="24"/>
                <w:szCs w:val="24"/>
                <w:lang w:val="bg-BG" w:eastAsia="bg-BG"/>
              </w:rPr>
              <w:lastRenderedPageBreak/>
              <w:t xml:space="preserve">Г-жа Весела Данева – директор на дирекция „Държавни </w:t>
            </w:r>
            <w:r w:rsidRPr="00385298">
              <w:rPr>
                <w:rFonts w:ascii="Times New Roman" w:eastAsia="Times New Roman" w:hAnsi="Times New Roman" w:cs="Times New Roman"/>
                <w:sz w:val="24"/>
                <w:szCs w:val="24"/>
                <w:lang w:val="bg-BG" w:eastAsia="bg-BG"/>
              </w:rPr>
              <w:lastRenderedPageBreak/>
              <w:t>помощи и реален сектор“, МФ</w:t>
            </w:r>
          </w:p>
        </w:tc>
        <w:tc>
          <w:tcPr>
            <w:tcW w:w="2118" w:type="pct"/>
            <w:vAlign w:val="center"/>
          </w:tcPr>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 xml:space="preserve">Видно от приложения материал към решението по т. 1.2,  свързано с предложение за увеличение на максималният размер на допустимите разходи за едно проектно предложение по подмярката -  от левовата равностойност на 6 млн. евро да стане левовата равностойност на 50 млн. евро, УО </w:t>
            </w:r>
            <w:r w:rsidRPr="00385298">
              <w:rPr>
                <w:rFonts w:ascii="Times New Roman" w:hAnsi="Times New Roman" w:cs="Times New Roman"/>
                <w:sz w:val="24"/>
                <w:szCs w:val="24"/>
                <w:lang w:val="bg-BG"/>
              </w:rPr>
              <w:t xml:space="preserve">предлага през 2023 </w:t>
            </w:r>
            <w:r w:rsidRPr="00385298">
              <w:rPr>
                <w:rFonts w:ascii="Times New Roman" w:hAnsi="Times New Roman" w:cs="Times New Roman"/>
                <w:sz w:val="24"/>
                <w:szCs w:val="24"/>
                <w:lang w:val="bg-BG"/>
              </w:rPr>
              <w:lastRenderedPageBreak/>
              <w:t xml:space="preserve">г. да бъде проведен прием на проектно предложение по подмярката с допустим кандидат „Напоителни системи“ ЕАД. Чрез проектното предложение ще бъдат реализирани инвестиции, насочени към реконструкция и/или рехабилитация на съществуващата хидромелиоративна инфраструктура в страната. </w:t>
            </w:r>
            <w:r w:rsidRPr="00385298">
              <w:rPr>
                <w:rFonts w:ascii="Times New Roman" w:eastAsia="Times New Roman" w:hAnsi="Times New Roman" w:cs="Times New Roman"/>
                <w:sz w:val="24"/>
                <w:szCs w:val="24"/>
                <w:lang w:val="bg-BG" w:eastAsia="bg-BG"/>
              </w:rPr>
              <w:t>Също така, в колона „Допустими дейности“ от приложения ИГРП за 2023 г. е посочено, че подкрепата ще бъде насочена към инвестиции в напоителни системи използвани само за селскостопански цели извън земеделските стопанства, включващи:</w:t>
            </w:r>
          </w:p>
          <w:p w:rsidR="003D3883" w:rsidRPr="00385298" w:rsidRDefault="003D3883" w:rsidP="004B7675">
            <w:pPr>
              <w:spacing w:after="0" w:line="240" w:lineRule="auto"/>
              <w:ind w:firstLine="708"/>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•Ремонт/реконструкция/рехабилитация на напоителни инсталации и напоителна инфраструктура;</w:t>
            </w:r>
          </w:p>
          <w:p w:rsidR="003D3883" w:rsidRPr="00385298" w:rsidRDefault="003D3883" w:rsidP="004B7675">
            <w:pPr>
              <w:spacing w:after="0" w:line="240" w:lineRule="auto"/>
              <w:ind w:firstLine="708"/>
              <w:jc w:val="both"/>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sz w:val="24"/>
                <w:szCs w:val="24"/>
                <w:lang w:val="bg-BG" w:eastAsia="bg-BG"/>
              </w:rPr>
              <w:t>•Закупуване и инсталиране на нови машини, съоръжения и оборудване за напояване, системи за отчитане, измерване и мониторинг, включително и такива, пряко свързани с подобряване на енергийната ефективност и опазване на околната среда.</w:t>
            </w:r>
          </w:p>
          <w:p w:rsidR="003D3883" w:rsidRPr="00385298" w:rsidRDefault="003D3883" w:rsidP="004B7675">
            <w:pPr>
              <w:widowControl w:val="0"/>
              <w:pBdr>
                <w:top w:val="nil"/>
                <w:left w:val="nil"/>
                <w:bottom w:val="nil"/>
                <w:right w:val="nil"/>
                <w:between w:val="nil"/>
              </w:pBdr>
              <w:spacing w:after="0" w:line="240" w:lineRule="auto"/>
              <w:ind w:firstLine="708"/>
              <w:jc w:val="both"/>
              <w:rPr>
                <w:rFonts w:ascii="Times New Roman" w:hAnsi="Times New Roman" w:cs="Times New Roman"/>
                <w:sz w:val="24"/>
                <w:szCs w:val="24"/>
                <w:lang w:val="bg-BG"/>
              </w:rPr>
            </w:pPr>
            <w:r w:rsidRPr="00385298">
              <w:rPr>
                <w:rFonts w:ascii="Times New Roman" w:eastAsia="Times New Roman" w:hAnsi="Times New Roman" w:cs="Times New Roman"/>
                <w:sz w:val="24"/>
                <w:szCs w:val="24"/>
                <w:lang w:val="bg-BG" w:eastAsia="bg-BG"/>
              </w:rPr>
              <w:t>В тази връзка, бихме искали да обърнем внимание, че в Плана за възстановяване и устойчивост на Република България е включен проект по Инвестиция 2 „</w:t>
            </w:r>
            <w:r w:rsidRPr="00385298">
              <w:rPr>
                <w:rFonts w:ascii="Times New Roman" w:hAnsi="Times New Roman" w:cs="Times New Roman"/>
                <w:sz w:val="24"/>
                <w:szCs w:val="24"/>
                <w:lang w:val="bg-BG"/>
              </w:rPr>
              <w:t xml:space="preserve">Цифровизация за комплексно управление, контрол и ефективно използване на водите“ (К9.И2), където „Напоителни системи“ ЕАД е партньор. За целите на изпълнение на проекта по ПВУ се предвиждат инвестиции в измервателни устройства. С оглед на това, считаме за важно УО да уточни с МОСВ въпросите за демаркация на дейностите по двата проекта. </w:t>
            </w:r>
          </w:p>
          <w:p w:rsidR="003D3883" w:rsidRPr="00385298" w:rsidRDefault="003D3883" w:rsidP="004B7675">
            <w:pPr>
              <w:widowControl w:val="0"/>
              <w:pBdr>
                <w:top w:val="nil"/>
                <w:left w:val="nil"/>
                <w:bottom w:val="nil"/>
                <w:right w:val="nil"/>
                <w:between w:val="nil"/>
              </w:pBdr>
              <w:spacing w:after="0" w:line="240" w:lineRule="auto"/>
              <w:ind w:firstLine="708"/>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Необходимо е да се изясни по кои правила за държавните помощи ще бъдат финансирани проектите – общи или секторни. При условие, че не могат да бъдат приложени секторните правила по държавните помощи, важно е да се определи приложимия режим по общите правила за държавните помощи - в съответствие с </w:t>
            </w:r>
            <w:r w:rsidRPr="00385298">
              <w:rPr>
                <w:rFonts w:ascii="Times New Roman" w:hAnsi="Times New Roman" w:cs="Times New Roman"/>
                <w:i/>
                <w:sz w:val="24"/>
                <w:szCs w:val="24"/>
                <w:lang w:val="bg-BG"/>
              </w:rPr>
              <w:t xml:space="preserve">Регламент (ЕС) № 651/2014 на </w:t>
            </w:r>
            <w:r w:rsidRPr="00385298">
              <w:rPr>
                <w:rFonts w:ascii="Times New Roman" w:hAnsi="Times New Roman" w:cs="Times New Roman"/>
                <w:i/>
                <w:sz w:val="24"/>
                <w:szCs w:val="24"/>
                <w:lang w:val="bg-BG"/>
              </w:rPr>
              <w:lastRenderedPageBreak/>
              <w:t>Комисията от 17 юни 2014 година за обявяване на някои категории помощи за съвместими с вътрешния пазар в приложение на членове 107 и 108 от Договора, Насоките относно държавната помощ в областта на климата, опазването на околната среда и енергетиката от 2022 г. (2022/C 80/01)</w:t>
            </w:r>
            <w:r w:rsidRPr="00385298">
              <w:rPr>
                <w:rFonts w:ascii="Times New Roman" w:hAnsi="Times New Roman" w:cs="Times New Roman"/>
                <w:sz w:val="24"/>
                <w:szCs w:val="24"/>
                <w:lang w:val="bg-BG"/>
              </w:rPr>
              <w:t xml:space="preserve"> или като част от услуга от общ икономически интерес (УОИИ). Както отбелязахме, услугата възложена на  „Напоителни системи“ ЕАД за защита от вредното въздействие на водите е в съответствие с </w:t>
            </w:r>
            <w:r w:rsidRPr="00385298">
              <w:rPr>
                <w:rFonts w:ascii="Times New Roman" w:hAnsi="Times New Roman" w:cs="Times New Roman"/>
                <w:i/>
                <w:sz w:val="24"/>
                <w:szCs w:val="24"/>
                <w:lang w:val="bg-BG"/>
              </w:rPr>
              <w:t xml:space="preserve">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(OB L 7 от 11.1.2012 г.) </w:t>
            </w:r>
            <w:r w:rsidRPr="00385298">
              <w:rPr>
                <w:rFonts w:ascii="Times New Roman" w:hAnsi="Times New Roman" w:cs="Times New Roman"/>
                <w:sz w:val="24"/>
                <w:szCs w:val="24"/>
                <w:lang w:val="bg-BG"/>
              </w:rPr>
              <w:t>/Решението на ЕК/.</w:t>
            </w:r>
          </w:p>
          <w:p w:rsidR="003D3883" w:rsidRPr="00385298" w:rsidRDefault="003D3883" w:rsidP="004B7675">
            <w:pPr>
              <w:widowControl w:val="0"/>
              <w:pBdr>
                <w:top w:val="nil"/>
                <w:left w:val="nil"/>
                <w:bottom w:val="nil"/>
                <w:right w:val="nil"/>
                <w:between w:val="nil"/>
              </w:pBdr>
              <w:spacing w:after="0" w:line="240" w:lineRule="auto"/>
              <w:ind w:firstLine="708"/>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Условията за кандидатстване и условията за изпълнение по подмярка 4.3 би следвало да съдържат мотивирана обосновка за избрания режим за държавна помощ или режим „непомощ“, както и относимите условия, гарантиращи съответствието със законодателството в областта на държавните помощи.</w:t>
            </w:r>
          </w:p>
          <w:p w:rsidR="003D3883" w:rsidRPr="00385298" w:rsidRDefault="003D3883" w:rsidP="004B7675">
            <w:pPr>
              <w:spacing w:after="0" w:line="240" w:lineRule="auto"/>
              <w:ind w:firstLine="708"/>
              <w:jc w:val="both"/>
              <w:rPr>
                <w:rFonts w:ascii="Times New Roman" w:hAnsi="Times New Roman" w:cs="Times New Roman"/>
                <w:i/>
                <w:sz w:val="24"/>
                <w:szCs w:val="24"/>
                <w:lang w:val="bg-BG"/>
              </w:rPr>
            </w:pPr>
            <w:r w:rsidRPr="00385298">
              <w:rPr>
                <w:rFonts w:ascii="Times New Roman" w:hAnsi="Times New Roman" w:cs="Times New Roman"/>
                <w:sz w:val="24"/>
                <w:szCs w:val="24"/>
                <w:lang w:val="bg-BG"/>
              </w:rPr>
              <w:t xml:space="preserve">В предишния вариант на ИГРП 2023 г., изпратен преди заседанието на КН на ПРСР, състояло се на 04.04.2023 г., се предвиждаше </w:t>
            </w:r>
            <w:r w:rsidRPr="00385298">
              <w:rPr>
                <w:rFonts w:ascii="Times New Roman" w:eastAsia="Times New Roman" w:hAnsi="Times New Roman" w:cs="Times New Roman"/>
                <w:sz w:val="24"/>
                <w:szCs w:val="24"/>
                <w:lang w:val="bg-BG" w:eastAsia="bg-BG"/>
              </w:rPr>
              <w:t xml:space="preserve">целеви прием 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с допустими кандидати - дружества с държавно участие за дейности по превенция на земеделските земи от вредното въздействие на водите - </w:t>
            </w:r>
            <w:r w:rsidRPr="00385298">
              <w:rPr>
                <w:rFonts w:ascii="Times New Roman" w:hAnsi="Times New Roman" w:cs="Times New Roman"/>
                <w:sz w:val="24"/>
                <w:szCs w:val="24"/>
                <w:lang w:val="bg-BG"/>
              </w:rPr>
              <w:t xml:space="preserve"> </w:t>
            </w:r>
            <w:r w:rsidRPr="00385298">
              <w:rPr>
                <w:rFonts w:ascii="Times New Roman" w:eastAsia="Times New Roman" w:hAnsi="Times New Roman" w:cs="Times New Roman"/>
                <w:sz w:val="24"/>
                <w:szCs w:val="24"/>
                <w:lang w:val="bg-BG" w:eastAsia="bg-BG"/>
              </w:rPr>
              <w:t xml:space="preserve">„Напоителни системи“ ЕАД и „Земинвест“ ЕАД. В случай, че УО възнамерява да приема проекти по посочената подмярка 5.1, поддържаме бележката, с </w:t>
            </w:r>
            <w:r w:rsidRPr="00385298">
              <w:rPr>
                <w:rFonts w:ascii="Times New Roman" w:eastAsia="Times New Roman" w:hAnsi="Times New Roman" w:cs="Times New Roman"/>
                <w:sz w:val="24"/>
                <w:szCs w:val="24"/>
                <w:lang w:val="bg-BG" w:eastAsia="bg-BG"/>
              </w:rPr>
              <w:lastRenderedPageBreak/>
              <w:t xml:space="preserve">която обърнахме внимание по отношение на „Напоителни системи“ ЕАД, че дейността, свързана с превенция от вредното въздействие на водите е възложена на предприятието със Закона за водите като УОИИ </w:t>
            </w:r>
            <w:r w:rsidRPr="00385298">
              <w:rPr>
                <w:rFonts w:ascii="Times New Roman" w:hAnsi="Times New Roman" w:cs="Times New Roman"/>
                <w:sz w:val="24"/>
                <w:szCs w:val="24"/>
                <w:lang w:val="bg-BG"/>
              </w:rPr>
              <w:t>съгласно Решението на ЕК,</w:t>
            </w:r>
            <w:r w:rsidRPr="00385298">
              <w:rPr>
                <w:rFonts w:ascii="Times New Roman" w:hAnsi="Times New Roman" w:cs="Times New Roman"/>
                <w:i/>
                <w:sz w:val="24"/>
                <w:szCs w:val="24"/>
                <w:lang w:val="bg-BG"/>
              </w:rPr>
              <w:t xml:space="preserve"> </w:t>
            </w:r>
            <w:r w:rsidRPr="00385298">
              <w:rPr>
                <w:rFonts w:ascii="Times New Roman" w:hAnsi="Times New Roman" w:cs="Times New Roman"/>
                <w:sz w:val="24"/>
                <w:szCs w:val="24"/>
                <w:lang w:val="bg-BG"/>
              </w:rPr>
              <w:t>и че условията за кандидатстване и условията за изпълнение следва да бъдат съобразени с него.</w:t>
            </w:r>
          </w:p>
          <w:p w:rsidR="003D3883" w:rsidRPr="00385298" w:rsidRDefault="003D3883" w:rsidP="004B7675">
            <w:pPr>
              <w:overflowPunct w:val="0"/>
              <w:autoSpaceDE w:val="0"/>
              <w:autoSpaceDN w:val="0"/>
              <w:spacing w:after="0" w:line="240" w:lineRule="auto"/>
              <w:jc w:val="both"/>
              <w:rPr>
                <w:rFonts w:ascii="Times New Roman" w:eastAsia="Times New Roman" w:hAnsi="Times New Roman" w:cs="Times New Roman"/>
                <w:sz w:val="24"/>
                <w:szCs w:val="24"/>
                <w:lang w:val="bg-BG"/>
              </w:rPr>
            </w:pPr>
          </w:p>
          <w:p w:rsidR="003D3883" w:rsidRPr="00385298" w:rsidRDefault="003D3883" w:rsidP="004B7675">
            <w:pPr>
              <w:spacing w:after="0" w:line="240" w:lineRule="auto"/>
              <w:jc w:val="both"/>
              <w:rPr>
                <w:rFonts w:ascii="Times New Roman" w:eastAsia="Times New Roman" w:hAnsi="Times New Roman" w:cs="Times New Roman"/>
                <w:sz w:val="24"/>
                <w:szCs w:val="24"/>
                <w:highlight w:val="yellow"/>
                <w:lang w:val="bg-BG" w:eastAsia="bg-BG"/>
              </w:rPr>
            </w:pPr>
          </w:p>
        </w:tc>
        <w:tc>
          <w:tcPr>
            <w:tcW w:w="2217" w:type="pct"/>
            <w:vAlign w:val="center"/>
          </w:tcPr>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Приема се по принцип.</w:t>
            </w:r>
          </w:p>
          <w:p w:rsidR="003D3883" w:rsidRPr="00385298" w:rsidRDefault="003D3883" w:rsidP="004B7675">
            <w:pPr>
              <w:spacing w:after="0" w:line="240" w:lineRule="auto"/>
              <w:jc w:val="both"/>
              <w:rPr>
                <w:rFonts w:ascii="Times New Roman" w:eastAsia="Times New Roman" w:hAnsi="Times New Roman" w:cs="Times New Roman"/>
                <w:sz w:val="24"/>
                <w:szCs w:val="24"/>
                <w:highlight w:val="yellow"/>
                <w:lang w:val="bg-BG" w:eastAsia="bg-BG"/>
              </w:rPr>
            </w:pPr>
            <w:r w:rsidRPr="00385298">
              <w:rPr>
                <w:rFonts w:ascii="Times New Roman" w:eastAsia="Times New Roman" w:hAnsi="Times New Roman" w:cs="Times New Roman"/>
                <w:sz w:val="24"/>
                <w:szCs w:val="24"/>
                <w:lang w:val="bg-BG" w:eastAsia="bg-BG"/>
              </w:rPr>
              <w:t xml:space="preserve">При спазване на чл. 65, параграф 11 от Регламент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w:t>
            </w:r>
            <w:r w:rsidRPr="00385298">
              <w:rPr>
                <w:rFonts w:ascii="Times New Roman" w:eastAsia="Times New Roman" w:hAnsi="Times New Roman" w:cs="Times New Roman"/>
                <w:sz w:val="24"/>
                <w:szCs w:val="24"/>
                <w:lang w:val="bg-BG" w:eastAsia="bg-BG"/>
              </w:rPr>
              <w:lastRenderedPageBreak/>
              <w:t>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ще бъде извършвана проверка за двойно  финансиране. Съответно, в условията за кандидатстване ще бъде включено условие за недопустимост на разходите, финансирани по Националния план за възстановяване и устойчивост.</w:t>
            </w:r>
          </w:p>
        </w:tc>
      </w:tr>
      <w:tr w:rsidR="003D3883" w:rsidRPr="00385298" w:rsidTr="004F1538">
        <w:tc>
          <w:tcPr>
            <w:tcW w:w="664" w:type="pct"/>
            <w:vAlign w:val="center"/>
          </w:tcPr>
          <w:p w:rsidR="003D3883" w:rsidRPr="00385298" w:rsidRDefault="003D3883" w:rsidP="004B7675">
            <w:pPr>
              <w:tabs>
                <w:tab w:val="left" w:pos="1125"/>
              </w:tabs>
              <w:spacing w:after="0" w:line="240" w:lineRule="auto"/>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Българска асоциация на консултантите по европейски програми</w:t>
            </w:r>
          </w:p>
        </w:tc>
        <w:tc>
          <w:tcPr>
            <w:tcW w:w="2118" w:type="pct"/>
            <w:vAlign w:val="center"/>
          </w:tcPr>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По Предложение на УО за изменение на </w:t>
            </w:r>
            <w:r w:rsidRPr="00385298">
              <w:rPr>
                <w:rFonts w:ascii="Times New Roman" w:hAnsi="Times New Roman" w:cs="Times New Roman"/>
                <w:b/>
                <w:sz w:val="24"/>
                <w:szCs w:val="24"/>
                <w:u w:val="single"/>
                <w:lang w:val="bg-BG"/>
              </w:rPr>
              <w:t>критериите за оценка на проектни предложения по подмярка 6.4.1 „Инвестиции в подкрепа на неземеделски дейности“</w:t>
            </w:r>
            <w:r w:rsidRPr="00385298">
              <w:rPr>
                <w:rFonts w:ascii="Times New Roman" w:hAnsi="Times New Roman" w:cs="Times New Roman"/>
                <w:sz w:val="24"/>
                <w:szCs w:val="24"/>
                <w:lang w:val="bg-BG"/>
              </w:rPr>
              <w:t xml:space="preserve"> от ПРСР 2014-2020 г. за прием 2023г.</w:t>
            </w:r>
          </w:p>
          <w:p w:rsidR="003D3883" w:rsidRPr="00385298" w:rsidRDefault="003D3883" w:rsidP="004B7675">
            <w:pPr>
              <w:spacing w:after="0" w:line="240" w:lineRule="auto"/>
              <w:ind w:firstLine="352"/>
              <w:jc w:val="both"/>
              <w:rPr>
                <w:rFonts w:ascii="Times New Roman" w:hAnsi="Times New Roman" w:cs="Times New Roman"/>
                <w:sz w:val="24"/>
                <w:szCs w:val="24"/>
                <w:lang w:val="bg-BG"/>
              </w:rPr>
            </w:pPr>
          </w:p>
          <w:p w:rsidR="003D3883" w:rsidRPr="00385298" w:rsidRDefault="003D3883" w:rsidP="004B7675">
            <w:pPr>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Предлагаме изменение на критерий 2.2 Финансовото състояние на кандидата обезпечава реализирането на инвестициите по проектното предложение</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eastAsia="Calibri" w:hAnsi="Times New Roman" w:cs="Times New Roman"/>
                <w:sz w:val="24"/>
                <w:szCs w:val="24"/>
                <w:lang w:val="bg-BG"/>
              </w:rPr>
            </w:pPr>
            <w:r w:rsidRPr="00385298">
              <w:rPr>
                <w:rFonts w:ascii="Times New Roman" w:eastAsia="Calibri" w:hAnsi="Times New Roman" w:cs="Times New Roman"/>
                <w:sz w:val="24"/>
                <w:szCs w:val="24"/>
                <w:lang w:val="bg-BG"/>
              </w:rPr>
              <w:t xml:space="preserve">БАКЕП  е инициатор на въвеждането на финансов критерий и подкрепяме неговото наличие. С оглед на факта, че проектите по подмярката следва да се изпълнят бързо и да се отчетат навреме заради забавения старт на процедурата считаме, че общата относителна тежест на критерия следва да е по-висока, за да се гарантира, че ще бъдат одобрени кандидати с достатъчен финансов потенциал, за да реализират успешно и бързо проектите си. В този смисъл е редно максималният брой точки на критерия да бъде по-висок. Това е единственият критерий, които отчита реални резултати на кандидатстващите, а не само наличие на формална история от три години  или опит. </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От друга страна предложената нова формула изисква много по-добро финансово състояние в сравнение с това, което беше нужно за кандидатите по подмреки 4.1. и 4.2. за да получат </w:t>
            </w:r>
            <w:r w:rsidRPr="00385298">
              <w:rPr>
                <w:rFonts w:ascii="Times New Roman" w:hAnsi="Times New Roman" w:cs="Times New Roman"/>
                <w:sz w:val="24"/>
                <w:szCs w:val="24"/>
                <w:lang w:val="bg-BG"/>
              </w:rPr>
              <w:lastRenderedPageBreak/>
              <w:t>максимален брой точки.  И докато по подмярка 4.1 и 4.2 допустими кандидати са и средни предприятия включително от големите  областни градове, то по подмярка 6.4.1 въпросният финансов критерий ще засегни най-малките предприятия, а именно микро предприятията, които  осъществяват дейност в по-бедни и по-слабо развити райони като селските. й.</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От друга страна, ние си даваме сметка, че в предстоящия прием трябва да бъдат финансирани най-вече проекти, които имат финансовата способност да стартират веднага изпълнението на проекта си с оглед много ограниченото време за неговото завършване. </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Също така, предложената от вас формула ще даде възможност да се получат много разнообразни точки по този критерий и така ще се избегне струпване на проекти с еднакъв брой точки.</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Затова предлагаме такава редакция на този критерий, че от една страна да не е максимално рестриктивен и същевременно да е с достатъчно голяма тежест в общата оценка. Редакцията е в:</w:t>
            </w:r>
          </w:p>
          <w:p w:rsidR="003D3883" w:rsidRPr="00385298" w:rsidRDefault="003D3883" w:rsidP="004B7675">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Увеличаване на общия брой точки – от  10 на 15</w:t>
            </w:r>
          </w:p>
          <w:p w:rsidR="003D3883" w:rsidRPr="00385298" w:rsidRDefault="003D3883" w:rsidP="004B7675">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Увеличаване на коефициента, с който се умножава съотношението между печалбата и размера на проекта  - от 10 на 50.</w:t>
            </w:r>
          </w:p>
          <w:p w:rsidR="003D3883" w:rsidRPr="00385298" w:rsidRDefault="003D3883" w:rsidP="004B7675">
            <w:pPr>
              <w:spacing w:after="0" w:line="240" w:lineRule="auto"/>
              <w:jc w:val="both"/>
              <w:rPr>
                <w:rFonts w:ascii="Times New Roman" w:hAnsi="Times New Roman" w:cs="Times New Roman"/>
                <w:sz w:val="24"/>
                <w:szCs w:val="24"/>
                <w:lang w:val="bg-BG"/>
              </w:rPr>
            </w:pPr>
          </w:p>
          <w:tbl>
            <w:tblPr>
              <w:tblStyle w:val="TableGrid3"/>
              <w:tblW w:w="5000" w:type="pct"/>
              <w:tblInd w:w="0" w:type="dxa"/>
              <w:tblLayout w:type="fixed"/>
              <w:tblLook w:val="04A0" w:firstRow="1" w:lastRow="0" w:firstColumn="1" w:lastColumn="0" w:noHBand="0" w:noVBand="1"/>
            </w:tblPr>
            <w:tblGrid>
              <w:gridCol w:w="514"/>
              <w:gridCol w:w="2058"/>
              <w:gridCol w:w="2939"/>
              <w:gridCol w:w="988"/>
            </w:tblGrid>
            <w:tr w:rsidR="003D3883" w:rsidRPr="00385298" w:rsidTr="004B7675">
              <w:trPr>
                <w:trHeight w:val="782"/>
              </w:trPr>
              <w:tc>
                <w:tcPr>
                  <w:tcW w:w="396" w:type="pct"/>
                  <w:tcBorders>
                    <w:top w:val="single" w:sz="4" w:space="0" w:color="auto"/>
                    <w:left w:val="single" w:sz="4" w:space="0" w:color="auto"/>
                    <w:bottom w:val="single" w:sz="4" w:space="0" w:color="auto"/>
                    <w:right w:val="single" w:sz="4" w:space="0" w:color="auto"/>
                  </w:tcBorders>
                  <w:vAlign w:val="center"/>
                  <w:hideMark/>
                </w:tcPr>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2.2</w:t>
                  </w:r>
                </w:p>
              </w:tc>
              <w:tc>
                <w:tcPr>
                  <w:tcW w:w="1583" w:type="pct"/>
                  <w:tcBorders>
                    <w:top w:val="single" w:sz="4" w:space="0" w:color="auto"/>
                    <w:left w:val="single" w:sz="4" w:space="0" w:color="auto"/>
                    <w:bottom w:val="single" w:sz="4" w:space="0" w:color="auto"/>
                    <w:right w:val="single" w:sz="4" w:space="0" w:color="auto"/>
                  </w:tcBorders>
                  <w:vAlign w:val="center"/>
                  <w:hideMark/>
                </w:tcPr>
                <w:p w:rsidR="003D3883" w:rsidRPr="00385298" w:rsidRDefault="003D3883" w:rsidP="004B7675">
                  <w:pPr>
                    <w:rPr>
                      <w:rFonts w:ascii="Times New Roman" w:eastAsia="Times New Roman" w:hAnsi="Times New Roman" w:cs="Times New Roman"/>
                      <w:sz w:val="24"/>
                      <w:szCs w:val="24"/>
                      <w:highlight w:val="yellow"/>
                      <w:lang w:val="bg-BG"/>
                    </w:rPr>
                  </w:pPr>
                  <w:r w:rsidRPr="00385298">
                    <w:rPr>
                      <w:rFonts w:ascii="Times New Roman" w:eastAsia="Times New Roman" w:hAnsi="Times New Roman" w:cs="Times New Roman"/>
                      <w:sz w:val="24"/>
                      <w:szCs w:val="24"/>
                      <w:lang w:val="bg-BG"/>
                    </w:rPr>
                    <w:t>Финансовото състояние на кандидата обезпечава реализирането на инвестициите по проектното предложение.</w:t>
                  </w:r>
                </w:p>
              </w:tc>
              <w:tc>
                <w:tcPr>
                  <w:tcW w:w="2261" w:type="pct"/>
                  <w:tcBorders>
                    <w:top w:val="single" w:sz="4" w:space="0" w:color="auto"/>
                    <w:left w:val="single" w:sz="4" w:space="0" w:color="auto"/>
                    <w:bottom w:val="single" w:sz="4" w:space="0" w:color="auto"/>
                    <w:right w:val="single" w:sz="4" w:space="0" w:color="auto"/>
                  </w:tcBorders>
                  <w:vAlign w:val="center"/>
                  <w:hideMark/>
                </w:tcPr>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 xml:space="preserve">Критерият оценява съотношението между средноаритметичният размер на оперативната печалба на кандидата от последните три завършени финансови години (2019, 2020 и 2021 </w:t>
                  </w:r>
                  <w:r w:rsidRPr="00385298">
                    <w:rPr>
                      <w:rFonts w:ascii="Times New Roman" w:eastAsia="Times New Roman" w:hAnsi="Times New Roman" w:cs="Times New Roman"/>
                      <w:sz w:val="24"/>
                      <w:szCs w:val="24"/>
                      <w:lang w:val="bg-BG"/>
                    </w:rPr>
                    <w:lastRenderedPageBreak/>
                    <w:t xml:space="preserve">г.) и заявената стойност на проектното предложение. </w:t>
                  </w:r>
                </w:p>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Точките по проектното предложение (Т) се изчисляват по следната формула:</w:t>
                  </w:r>
                </w:p>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 xml:space="preserve">Т = </w:t>
                  </w:r>
                  <w:r w:rsidRPr="00385298">
                    <w:rPr>
                      <w:rFonts w:ascii="Times New Roman" w:eastAsia="Times New Roman" w:hAnsi="Times New Roman" w:cs="Times New Roman"/>
                      <w:color w:val="FF0000"/>
                      <w:sz w:val="24"/>
                      <w:szCs w:val="24"/>
                      <w:lang w:val="bg-BG"/>
                    </w:rPr>
                    <w:t>50</w:t>
                  </w:r>
                  <w:r w:rsidRPr="00385298">
                    <w:rPr>
                      <w:rFonts w:ascii="Times New Roman" w:eastAsia="Times New Roman" w:hAnsi="Times New Roman" w:cs="Times New Roman"/>
                      <w:sz w:val="24"/>
                      <w:szCs w:val="24"/>
                      <w:lang w:val="bg-BG"/>
                    </w:rPr>
                    <w:t>*(Средноаритметична стойност на оперативната печалба/Стойност на проектното предложение)</w:t>
                  </w:r>
                </w:p>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Закръглява се до втория знак след десетичната запетая.</w:t>
                  </w:r>
                </w:p>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 xml:space="preserve">Максимален брой точки - </w:t>
                  </w:r>
                  <w:r w:rsidRPr="00385298">
                    <w:rPr>
                      <w:rFonts w:ascii="Times New Roman" w:eastAsia="Times New Roman" w:hAnsi="Times New Roman" w:cs="Times New Roman"/>
                      <w:color w:val="FF0000"/>
                      <w:sz w:val="24"/>
                      <w:szCs w:val="24"/>
                      <w:lang w:val="bg-BG"/>
                    </w:rPr>
                    <w:t>15</w:t>
                  </w:r>
                  <w:r w:rsidRPr="00385298">
                    <w:rPr>
                      <w:rFonts w:ascii="Times New Roman" w:eastAsia="Times New Roman" w:hAnsi="Times New Roman" w:cs="Times New Roman"/>
                      <w:sz w:val="24"/>
                      <w:szCs w:val="24"/>
                      <w:lang w:val="bg-BG"/>
                    </w:rPr>
                    <w:t xml:space="preserve"> т.</w:t>
                  </w:r>
                </w:p>
                <w:p w:rsidR="003D3883" w:rsidRPr="00385298" w:rsidRDefault="003D3883" w:rsidP="004B7675">
                  <w:pP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При отрицателен резултат, точките са „0“.</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3D3883" w:rsidRPr="00385298" w:rsidRDefault="003D3883" w:rsidP="004B7675">
                  <w:pPr>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color w:val="FF0000"/>
                      <w:sz w:val="24"/>
                      <w:szCs w:val="24"/>
                      <w:lang w:val="bg-BG"/>
                    </w:rPr>
                    <w:lastRenderedPageBreak/>
                    <w:t>15</w:t>
                  </w:r>
                </w:p>
              </w:tc>
            </w:tr>
          </w:tbl>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Даваме следния пример, който онагледява ситуацията, ако няма промяна на критерия.</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Кандидат по подмярка 4.2: За да получи максимален брой точки  по финансовия критерий по последните две процедури  за общ размер на инвестиционните разходи от 200 000 лв. например, беше достатъчно да има средноаритметичен размер на оперативната печалба от последните три завършени финансови  години в размер на 40 500 лв. Съгласно критерия 40 500*5 = 202 500 лв., което е по-голямо от общата стойност на проектното предложение и се оценява с максималните 10 точки.</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Нека разгледаме същия случай по предложения  от УО на ПРСР финансов критерий за подмярка 6.4.1.  За  общ размер на инвестиционните разходи от 200 000 лв., за да получи максималните 10 точки по критерия, кандидатът трябва да има средноаритметичен размер на оперативната печалба за последните три години от минимум 200 000 лв. Прилагаме формулата : 10*200000/200000= 10</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Тоест от едно микро предприятие се изисква 5-кратно по-добър финансов резултат в сравнение с преработвател за един и същ размер на проекта.  По горния пример кандидат микро предприятие, което има 200 000 лв. оперативна печалба на година, получавайки максималния брой точки по финансовия критерий  ще получи  предимство за получаване на  безвъзмездно финансиране от 100 000 лв.  като само за една финансова година той има двойно по-голяма оперативна печалба. Защо на такъв кандидат е нужна безвъзмездна финансова помощ? Не считаме това изискване за логично и адекватно спрямо размера и възможностите на различните категории предприятия  и целите на ПРСР. </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 случай, че се приеме нашето предложение за посочения по-горе примерен размер на  инвестиционните разходи от 200 000лв, за да получи максимален брой точки по критерия, кандидатът по подмярка 6.4.1  би следвало да има средноаритметичен размер на оперативната печалба от 60 000 лв., което е съизмеримо с финансовите критерии по подмярка 4.1 и 4.2.  и  необходимостта одобрените кандидати бързо и успешно да реализират проектите си.</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bg-BG"/>
              </w:rPr>
            </w:pPr>
            <w:r w:rsidRPr="00385298">
              <w:rPr>
                <w:rFonts w:ascii="Times New Roman" w:hAnsi="Times New Roman" w:cs="Times New Roman"/>
                <w:sz w:val="24"/>
                <w:szCs w:val="24"/>
                <w:lang w:val="bg-BG"/>
              </w:rPr>
              <w:t>Предлагаме промяна в критерий 5.1. Проекти, създаващи нови работни места </w:t>
            </w:r>
          </w:p>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 xml:space="preserve">С оглед на демографската криза особено изявена в селските райони, предлагаме да бъдат насърчени и кандидатите, които и до момента са осигурявали работни места. Приоритет заслужават кандидати, които дългосрочно са поддържали и ще поддържат по-голям брой работни места. Приносът им за съхранение на селските райони така ще бъде  по-голям отколкото да се обещае тепърва създаване на едно ново работно място. В повечето случаи не е проблем това едно ново работно място да е съвсем фиктивно. </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Предложение за промяна на критерия</w:t>
            </w:r>
          </w:p>
          <w:tbl>
            <w:tblPr>
              <w:tblW w:w="5000" w:type="pct"/>
              <w:tblLayout w:type="fixed"/>
              <w:tblCellMar>
                <w:left w:w="70" w:type="dxa"/>
                <w:right w:w="70" w:type="dxa"/>
              </w:tblCellMar>
              <w:tblLook w:val="04A0" w:firstRow="1" w:lastRow="0" w:firstColumn="1" w:lastColumn="0" w:noHBand="0" w:noVBand="1"/>
            </w:tblPr>
            <w:tblGrid>
              <w:gridCol w:w="277"/>
              <w:gridCol w:w="1698"/>
              <w:gridCol w:w="3953"/>
              <w:gridCol w:w="571"/>
            </w:tblGrid>
            <w:tr w:rsidR="003D3883" w:rsidRPr="00385298" w:rsidTr="004B7675">
              <w:trPr>
                <w:trHeight w:val="480"/>
              </w:trPr>
              <w:tc>
                <w:tcPr>
                  <w:tcW w:w="21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D3883" w:rsidRPr="00385298" w:rsidRDefault="003D3883" w:rsidP="004B7675">
                  <w:pPr>
                    <w:spacing w:after="0" w:line="240" w:lineRule="auto"/>
                    <w:jc w:val="right"/>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5</w:t>
                  </w:r>
                </w:p>
              </w:tc>
              <w:tc>
                <w:tcPr>
                  <w:tcW w:w="4347" w:type="pct"/>
                  <w:gridSpan w:val="2"/>
                  <w:tcBorders>
                    <w:top w:val="single" w:sz="4" w:space="0" w:color="auto"/>
                    <w:left w:val="nil"/>
                    <w:bottom w:val="single" w:sz="4" w:space="0" w:color="auto"/>
                    <w:right w:val="single" w:sz="4" w:space="0" w:color="auto"/>
                  </w:tcBorders>
                  <w:shd w:val="clear" w:color="000000" w:fill="D9D9D9"/>
                  <w:vAlign w:val="center"/>
                  <w:hideMark/>
                </w:tcPr>
                <w:p w:rsidR="003D3883" w:rsidRPr="00385298" w:rsidRDefault="003D3883" w:rsidP="004B7675">
                  <w:pPr>
                    <w:spacing w:after="0" w:line="240" w:lineRule="auto"/>
                    <w:rPr>
                      <w:rFonts w:ascii="Times New Roman" w:eastAsia="Times New Roman" w:hAnsi="Times New Roman" w:cs="Times New Roman"/>
                      <w:b/>
                      <w:bCs/>
                      <w:sz w:val="24"/>
                      <w:szCs w:val="24"/>
                      <w:lang w:val="bg-BG" w:eastAsia="bg-BG"/>
                    </w:rPr>
                  </w:pPr>
                  <w:r w:rsidRPr="00385298">
                    <w:rPr>
                      <w:rFonts w:ascii="Times New Roman" w:eastAsia="Times New Roman" w:hAnsi="Times New Roman" w:cs="Times New Roman"/>
                      <w:b/>
                      <w:bCs/>
                      <w:sz w:val="24"/>
                      <w:szCs w:val="24"/>
                      <w:lang w:val="bg-BG" w:eastAsia="bg-BG"/>
                    </w:rPr>
                    <w:t>Проекти, създаващи работни места</w:t>
                  </w:r>
                </w:p>
              </w:tc>
              <w:tc>
                <w:tcPr>
                  <w:tcW w:w="439" w:type="pct"/>
                  <w:tcBorders>
                    <w:top w:val="single" w:sz="4" w:space="0" w:color="auto"/>
                    <w:left w:val="nil"/>
                    <w:bottom w:val="single" w:sz="4" w:space="0" w:color="auto"/>
                    <w:right w:val="single" w:sz="4" w:space="0" w:color="auto"/>
                  </w:tcBorders>
                  <w:shd w:val="clear" w:color="000000" w:fill="D9D9D9"/>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5</w:t>
                  </w:r>
                </w:p>
              </w:tc>
            </w:tr>
            <w:tr w:rsidR="003D3883" w:rsidRPr="00385298" w:rsidTr="004B7675">
              <w:trPr>
                <w:trHeight w:val="936"/>
              </w:trPr>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5</w:t>
                  </w:r>
                </w:p>
              </w:tc>
              <w:tc>
                <w:tcPr>
                  <w:tcW w:w="1306" w:type="pct"/>
                  <w:vMerge w:val="restart"/>
                  <w:tcBorders>
                    <w:top w:val="nil"/>
                    <w:left w:val="single" w:sz="4" w:space="0" w:color="auto"/>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Проекти, създаващи нови работни места </w:t>
                  </w:r>
                </w:p>
              </w:tc>
              <w:tc>
                <w:tcPr>
                  <w:tcW w:w="3040"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С изпълнение на дейностите по проектното предложение ще бъде създадено най-малко 1 ново работно място.</w:t>
                  </w:r>
                </w:p>
              </w:tc>
              <w:tc>
                <w:tcPr>
                  <w:tcW w:w="439"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1</w:t>
                  </w:r>
                </w:p>
              </w:tc>
            </w:tr>
            <w:tr w:rsidR="003D3883" w:rsidRPr="00385298" w:rsidTr="004B7675">
              <w:trPr>
                <w:trHeight w:val="1248"/>
              </w:trPr>
              <w:tc>
                <w:tcPr>
                  <w:tcW w:w="214" w:type="pct"/>
                  <w:vMerge/>
                  <w:tcBorders>
                    <w:top w:val="nil"/>
                    <w:left w:val="single" w:sz="4" w:space="0" w:color="auto"/>
                    <w:bottom w:val="single" w:sz="4" w:space="0" w:color="auto"/>
                    <w:right w:val="single" w:sz="4" w:space="0" w:color="auto"/>
                  </w:tcBorders>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p>
              </w:tc>
              <w:tc>
                <w:tcPr>
                  <w:tcW w:w="1306" w:type="pct"/>
                  <w:vMerge/>
                  <w:tcBorders>
                    <w:top w:val="nil"/>
                    <w:left w:val="single" w:sz="4" w:space="0" w:color="auto"/>
                    <w:bottom w:val="single" w:sz="4" w:space="0" w:color="auto"/>
                    <w:right w:val="single" w:sz="4" w:space="0" w:color="auto"/>
                  </w:tcBorders>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p>
              </w:tc>
              <w:tc>
                <w:tcPr>
                  <w:tcW w:w="3040"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През последната финансова година кандидатът има средносписъчен брой на персонала  минимум 2 души и този брой ще бъде запазен след реализирането на проекта</w:t>
                  </w:r>
                </w:p>
              </w:tc>
              <w:tc>
                <w:tcPr>
                  <w:tcW w:w="439"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2</w:t>
                  </w:r>
                </w:p>
              </w:tc>
            </w:tr>
            <w:tr w:rsidR="003D3883" w:rsidRPr="00385298" w:rsidTr="004B7675">
              <w:trPr>
                <w:trHeight w:val="1248"/>
              </w:trPr>
              <w:tc>
                <w:tcPr>
                  <w:tcW w:w="214" w:type="pct"/>
                  <w:vMerge/>
                  <w:tcBorders>
                    <w:top w:val="nil"/>
                    <w:left w:val="single" w:sz="4" w:space="0" w:color="auto"/>
                    <w:bottom w:val="single" w:sz="4" w:space="0" w:color="auto"/>
                    <w:right w:val="single" w:sz="4" w:space="0" w:color="auto"/>
                  </w:tcBorders>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p>
              </w:tc>
              <w:tc>
                <w:tcPr>
                  <w:tcW w:w="1306" w:type="pct"/>
                  <w:vMerge/>
                  <w:tcBorders>
                    <w:top w:val="nil"/>
                    <w:left w:val="single" w:sz="4" w:space="0" w:color="auto"/>
                    <w:bottom w:val="single" w:sz="4" w:space="0" w:color="auto"/>
                    <w:right w:val="single" w:sz="4" w:space="0" w:color="auto"/>
                  </w:tcBorders>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p>
              </w:tc>
              <w:tc>
                <w:tcPr>
                  <w:tcW w:w="3040"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През последната финансова година кандидатът има средносписъчен брой на персонала  минимум 3 души и този брой ще бъде запазен след реализирането на проекта</w:t>
                  </w:r>
                </w:p>
              </w:tc>
              <w:tc>
                <w:tcPr>
                  <w:tcW w:w="439"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3</w:t>
                  </w:r>
                </w:p>
              </w:tc>
            </w:tr>
            <w:tr w:rsidR="003D3883" w:rsidRPr="00385298" w:rsidTr="004B7675">
              <w:trPr>
                <w:trHeight w:val="1248"/>
              </w:trPr>
              <w:tc>
                <w:tcPr>
                  <w:tcW w:w="214" w:type="pct"/>
                  <w:vMerge/>
                  <w:tcBorders>
                    <w:top w:val="nil"/>
                    <w:left w:val="single" w:sz="4" w:space="0" w:color="auto"/>
                    <w:bottom w:val="single" w:sz="4" w:space="0" w:color="auto"/>
                    <w:right w:val="single" w:sz="4" w:space="0" w:color="auto"/>
                  </w:tcBorders>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p>
              </w:tc>
              <w:tc>
                <w:tcPr>
                  <w:tcW w:w="1306" w:type="pct"/>
                  <w:vMerge/>
                  <w:tcBorders>
                    <w:top w:val="nil"/>
                    <w:left w:val="single" w:sz="4" w:space="0" w:color="auto"/>
                    <w:bottom w:val="single" w:sz="4" w:space="0" w:color="auto"/>
                    <w:right w:val="single" w:sz="4" w:space="0" w:color="auto"/>
                  </w:tcBorders>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p>
              </w:tc>
              <w:tc>
                <w:tcPr>
                  <w:tcW w:w="3040"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През последната финансова година кандидатът има средносписъчен брой на персонала  минимум 4 души и този брой ще бъде запазен след реализирането на проекта</w:t>
                  </w:r>
                </w:p>
              </w:tc>
              <w:tc>
                <w:tcPr>
                  <w:tcW w:w="439" w:type="pct"/>
                  <w:tcBorders>
                    <w:top w:val="nil"/>
                    <w:left w:val="nil"/>
                    <w:bottom w:val="single" w:sz="4" w:space="0" w:color="auto"/>
                    <w:right w:val="single" w:sz="4" w:space="0" w:color="auto"/>
                  </w:tcBorders>
                  <w:shd w:val="clear" w:color="auto" w:fill="auto"/>
                  <w:vAlign w:val="center"/>
                  <w:hideMark/>
                </w:tcPr>
                <w:p w:rsidR="003D3883" w:rsidRPr="00385298" w:rsidRDefault="003D3883" w:rsidP="004B7675">
                  <w:pPr>
                    <w:spacing w:after="0" w:line="240" w:lineRule="auto"/>
                    <w:jc w:val="center"/>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4</w:t>
                  </w:r>
                </w:p>
              </w:tc>
            </w:tr>
          </w:tbl>
          <w:p w:rsidR="003D3883" w:rsidRPr="00385298" w:rsidRDefault="003D3883" w:rsidP="004B7675">
            <w:pPr>
              <w:spacing w:after="0" w:line="240" w:lineRule="auto"/>
              <w:jc w:val="both"/>
              <w:rPr>
                <w:rFonts w:ascii="Times New Roman" w:hAnsi="Times New Roman" w:cs="Times New Roman"/>
                <w:sz w:val="24"/>
                <w:szCs w:val="24"/>
                <w:lang w:val="bg-BG"/>
              </w:rPr>
            </w:pP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Въвежда се изискване  запазените работни места да са в селски район за срока на мониторинг.</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tc>
        <w:tc>
          <w:tcPr>
            <w:tcW w:w="2217" w:type="pct"/>
            <w:shd w:val="clear" w:color="auto" w:fill="auto"/>
            <w:vAlign w:val="center"/>
          </w:tcPr>
          <w:p w:rsidR="003D3883" w:rsidRPr="00385298" w:rsidRDefault="003D3883" w:rsidP="004B7675">
            <w:pPr>
              <w:spacing w:after="0" w:line="240" w:lineRule="auto"/>
              <w:rPr>
                <w:rFonts w:ascii="Times New Roman" w:eastAsia="Times New Roman" w:hAnsi="Times New Roman" w:cs="Times New Roman"/>
                <w:sz w:val="24"/>
                <w:szCs w:val="24"/>
                <w:highlight w:val="yellow"/>
                <w:lang w:val="bg-BG" w:eastAsia="bg-BG"/>
              </w:rPr>
            </w:pPr>
            <w:r w:rsidRPr="00385298">
              <w:rPr>
                <w:rFonts w:ascii="Times New Roman" w:eastAsia="Times New Roman" w:hAnsi="Times New Roman" w:cs="Times New Roman"/>
                <w:sz w:val="24"/>
                <w:szCs w:val="24"/>
                <w:lang w:val="bg-BG" w:eastAsia="bg-BG"/>
              </w:rPr>
              <w:lastRenderedPageBreak/>
              <w:t>Приема се.</w:t>
            </w:r>
          </w:p>
        </w:tc>
      </w:tr>
      <w:tr w:rsidR="003D3883" w:rsidRPr="00385298" w:rsidTr="004F1538">
        <w:tc>
          <w:tcPr>
            <w:tcW w:w="664" w:type="pct"/>
            <w:vAlign w:val="center"/>
          </w:tcPr>
          <w:p w:rsidR="003D3883" w:rsidRPr="00385298" w:rsidRDefault="003D3883" w:rsidP="004B7675">
            <w:pPr>
              <w:spacing w:after="0" w:line="240" w:lineRule="auto"/>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Инж. Радка Върбанова -главен експерт</w:t>
            </w:r>
          </w:p>
          <w:p w:rsidR="003D3883" w:rsidRPr="00385298" w:rsidRDefault="003D3883" w:rsidP="004B7675">
            <w:pPr>
              <w:spacing w:after="0" w:line="240" w:lineRule="auto"/>
              <w:rPr>
                <w:rFonts w:ascii="Times New Roman" w:hAnsi="Times New Roman" w:cs="Times New Roman"/>
                <w:sz w:val="24"/>
                <w:szCs w:val="24"/>
                <w:lang w:val="bg-BG"/>
              </w:rPr>
            </w:pPr>
            <w:r w:rsidRPr="00385298">
              <w:rPr>
                <w:rFonts w:ascii="Times New Roman" w:hAnsi="Times New Roman" w:cs="Times New Roman"/>
                <w:sz w:val="24"/>
                <w:szCs w:val="24"/>
                <w:lang w:val="bg-BG"/>
              </w:rPr>
              <w:t>отдел "Наука и международни дейности"</w:t>
            </w:r>
          </w:p>
          <w:p w:rsidR="003D3883" w:rsidRPr="00385298" w:rsidRDefault="003D3883" w:rsidP="004B7675">
            <w:pPr>
              <w:spacing w:after="0" w:line="240" w:lineRule="auto"/>
              <w:rPr>
                <w:rFonts w:ascii="Times New Roman" w:hAnsi="Times New Roman" w:cs="Times New Roman"/>
                <w:sz w:val="24"/>
                <w:szCs w:val="24"/>
                <w:lang w:val="bg-BG"/>
              </w:rPr>
            </w:pPr>
            <w:r w:rsidRPr="00385298">
              <w:rPr>
                <w:rFonts w:ascii="Times New Roman" w:hAnsi="Times New Roman" w:cs="Times New Roman"/>
                <w:sz w:val="24"/>
                <w:szCs w:val="24"/>
                <w:lang w:val="bg-BG"/>
              </w:rPr>
              <w:t>Изпълнителна агенция по горите</w:t>
            </w:r>
          </w:p>
          <w:p w:rsidR="003D3883" w:rsidRPr="00385298" w:rsidRDefault="003D3883" w:rsidP="004B7675">
            <w:pPr>
              <w:tabs>
                <w:tab w:val="left" w:pos="1125"/>
              </w:tabs>
              <w:spacing w:after="0" w:line="240" w:lineRule="auto"/>
              <w:rPr>
                <w:rFonts w:ascii="Times New Roman" w:eastAsia="Times New Roman" w:hAnsi="Times New Roman" w:cs="Times New Roman"/>
                <w:sz w:val="24"/>
                <w:szCs w:val="24"/>
                <w:lang w:val="bg-BG" w:eastAsia="bg-BG"/>
              </w:rPr>
            </w:pPr>
          </w:p>
        </w:tc>
        <w:tc>
          <w:tcPr>
            <w:tcW w:w="2118" w:type="pct"/>
            <w:vAlign w:val="center"/>
          </w:tcPr>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Във връзка с неприсъствената писмена процедура на КН по ПРСР 2014-2020,провеждана в периода 05-10.04.2023 г. прилагаме становището на Изпълнителна агенция по горите по т. „Предложение на УО за изменение в текста на подмярка 1.2 „Демонстрационни дейности и действия за осведомяване“ от ПРСР 2014-2020 г.“ .</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Предложението за нов текст в ПРСР 2014-2020 г. е следното: „Раздел</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8.2.1.3.2.8 (Приложими) суми и проценти на предоставяната подкрепа: </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Максималният интензитет на помощта е 100%. Максималният размер на помощта за инвестиции за един бенефициент за периода на прилагане на програмата е 350 000 евро за демонстрации, насочени към земеделски стопани и 100 000 евро за демонстрации, насочени към горски стопани.“ В настоящия текст на ПРСР (15-то изменение) заложената максимална сума е 100 000 евро за всички стопани.</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 изпратените по електронната поща мотиви на УО на ПРСР за увеличаване на максималния бюджет на подмярка 1.2 е цитирано следното: „От друга страна в чл. 21 (8) от Регламент № 702/2014 е предвидено ограничение за инвестиции до 100 000 евро, като част от демонстрационен проект, което ограничение се отнася до демонстрационни проекти за горски стопани и заетите лица в техните стопанства.“ В посоченият чл. 21 (8) от Регламент № 702/2014 изрично не е посочено, че помощта за трансфер на знания и информационни дейности за проекти на горски стопани е ограничена до 100 000 евро.</w:t>
            </w:r>
          </w:p>
          <w:p w:rsidR="003D3883" w:rsidRPr="00385298" w:rsidRDefault="003D3883" w:rsidP="004B7675">
            <w:pPr>
              <w:spacing w:after="0" w:line="240" w:lineRule="auto"/>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Във връзка с това, Изпълнителна агенция по горите счита, че не следва да има разделение на максималния размер на инвестиция </w:t>
            </w:r>
            <w:r w:rsidRPr="00385298">
              <w:rPr>
                <w:rFonts w:ascii="Times New Roman" w:hAnsi="Times New Roman" w:cs="Times New Roman"/>
                <w:sz w:val="24"/>
                <w:szCs w:val="24"/>
                <w:lang w:val="bg-BG"/>
              </w:rPr>
              <w:lastRenderedPageBreak/>
              <w:t>за един бенефициент за периода на програмата за демонстрации, насочени към земеделски и към горски стопани. Предлагаме максималната сума за горски стопани също да бъде увеличена на 350 000 евро.</w:t>
            </w:r>
          </w:p>
          <w:p w:rsidR="003D3883" w:rsidRPr="00385298" w:rsidRDefault="003D3883" w:rsidP="004B7675">
            <w:pPr>
              <w:spacing w:after="0" w:line="240" w:lineRule="auto"/>
              <w:jc w:val="both"/>
              <w:rPr>
                <w:rFonts w:ascii="Times New Roman" w:hAnsi="Times New Roman" w:cs="Times New Roman"/>
                <w:sz w:val="24"/>
                <w:szCs w:val="24"/>
                <w:lang w:val="bg-BG"/>
              </w:rPr>
            </w:pPr>
          </w:p>
        </w:tc>
        <w:tc>
          <w:tcPr>
            <w:tcW w:w="2217" w:type="pct"/>
            <w:vAlign w:val="center"/>
          </w:tcPr>
          <w:p w:rsidR="003D3883" w:rsidRPr="00385298" w:rsidRDefault="003D3883" w:rsidP="004B7675">
            <w:pPr>
              <w:overflowPunct w:val="0"/>
              <w:autoSpaceDE w:val="0"/>
              <w:autoSpaceDN w:val="0"/>
              <w:adjustRightInd w:val="0"/>
              <w:spacing w:after="0" w:line="252"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 xml:space="preserve">Не се приема. </w:t>
            </w:r>
          </w:p>
          <w:p w:rsidR="003D3883" w:rsidRPr="00385298" w:rsidRDefault="003D3883" w:rsidP="004B7675">
            <w:pPr>
              <w:overflowPunct w:val="0"/>
              <w:autoSpaceDE w:val="0"/>
              <w:autoSpaceDN w:val="0"/>
              <w:adjustRightInd w:val="0"/>
              <w:spacing w:after="0" w:line="252"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Съгласно чл. 81 от Регламент 1305/2013 г.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(OB, L 347, 20.12.2013 г.), разпоредбите на чл. 107, 108 и 109 от Договора за функционирането на Европейския съюз (ДФЕС) не се прилагат по отношение на плащания, предоставени по ПРСР 2014-2020 в рамките на обхвата на чл. 42 от ДФЕС – демонстрационни дейности по т. 13.1.1 от Раздел 13.1 „Допустими дейности“ на теми в сферата на селското стопанство за земеделски стопани и заетите в техните стопанства. </w:t>
            </w:r>
          </w:p>
          <w:p w:rsidR="003D3883" w:rsidRPr="00385298" w:rsidRDefault="003D3883" w:rsidP="004B7675">
            <w:pPr>
              <w:overflowPunct w:val="0"/>
              <w:autoSpaceDE w:val="0"/>
              <w:autoSpaceDN w:val="0"/>
              <w:adjustRightInd w:val="0"/>
              <w:spacing w:after="0" w:line="252"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Известието на комисията относно понятието за държавна помощ, посоченото в чл. 107, параграф 1 от ДФЕС (за краткост Известието) (2016/С 262/01) определя принципите за разграничаването на нестопанската от стопанската дейност в областта на образованието и научноизследователските дейности, както и изрично посочва някои дейности на университети и научноизследователски организации, които се отнася до основните им дейности и не попадат в приложното поле на правилата за държавна помощ (параграфи 31 от Известието). Предоставянето на публичен ресурс, в това число безвъзмездна финансова помощ от подмярка 1.2. „Демонстрационни дейности и действия по осведомяване“ от ПРСР 2014 – 2020 г. трябва да е съобразено с правилата за държавна помощ, като се отчита принципната недопустимост на държавните помощи и възможните хипотези на съвместимост, които Договорът за ЕС, Договорът за функционирането на </w:t>
            </w:r>
            <w:r w:rsidRPr="00385298">
              <w:rPr>
                <w:rFonts w:ascii="Times New Roman" w:eastAsia="Times New Roman" w:hAnsi="Times New Roman" w:cs="Times New Roman"/>
                <w:sz w:val="24"/>
                <w:szCs w:val="24"/>
                <w:lang w:val="bg-BG" w:eastAsia="bg-BG"/>
              </w:rPr>
              <w:lastRenderedPageBreak/>
              <w:t xml:space="preserve">Европейския съюз (ДФЕС), Регламентите и националното законодателство предвиждат. Следователно  Подпомагането по подмярката в сектора на горското стопанство следва да е в съответствие с Регламент (ЕС) № 702/2014. </w:t>
            </w:r>
          </w:p>
          <w:p w:rsidR="003D3883" w:rsidRPr="00385298" w:rsidRDefault="003D3883" w:rsidP="004B7675">
            <w:pPr>
              <w:spacing w:after="0" w:line="240" w:lineRule="auto"/>
              <w:jc w:val="center"/>
              <w:rPr>
                <w:rFonts w:ascii="Times New Roman" w:eastAsia="Times New Roman" w:hAnsi="Times New Roman" w:cs="Times New Roman"/>
                <w:sz w:val="24"/>
                <w:szCs w:val="24"/>
                <w:highlight w:val="yellow"/>
                <w:lang w:val="bg-BG" w:eastAsia="bg-BG"/>
              </w:rPr>
            </w:pPr>
          </w:p>
        </w:tc>
      </w:tr>
      <w:tr w:rsidR="003D3883" w:rsidRPr="00385298" w:rsidTr="004F1538">
        <w:tc>
          <w:tcPr>
            <w:tcW w:w="664" w:type="pct"/>
            <w:vAlign w:val="center"/>
          </w:tcPr>
          <w:p w:rsidR="003D3883" w:rsidRPr="00385298" w:rsidRDefault="003D3883" w:rsidP="004B7675">
            <w:pPr>
              <w:spacing w:after="0" w:line="240" w:lineRule="auto"/>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„НАЦИОНАЛЕН ЗЕМЕДЕЛСКИ ФОРУМ – ОСП след 2020“</w:t>
            </w:r>
            <w:r w:rsidRPr="00385298">
              <w:rPr>
                <w:rFonts w:ascii="Times New Roman" w:hAnsi="Times New Roman" w:cs="Times New Roman"/>
                <w:sz w:val="24"/>
                <w:szCs w:val="24"/>
                <w:lang w:val="bg-BG"/>
              </w:rPr>
              <w:br/>
              <w:t>1. Асоциация на земеделските производители в България</w:t>
            </w:r>
            <w:r w:rsidRPr="00385298">
              <w:rPr>
                <w:rFonts w:ascii="Times New Roman" w:hAnsi="Times New Roman" w:cs="Times New Roman"/>
                <w:sz w:val="24"/>
                <w:szCs w:val="24"/>
                <w:lang w:val="bg-BG"/>
              </w:rPr>
              <w:br/>
              <w:t>2. Съюз на птицевъдите в България</w:t>
            </w:r>
            <w:r w:rsidRPr="00385298">
              <w:rPr>
                <w:rFonts w:ascii="Times New Roman" w:hAnsi="Times New Roman" w:cs="Times New Roman"/>
                <w:sz w:val="24"/>
                <w:szCs w:val="24"/>
                <w:lang w:val="bg-BG"/>
              </w:rPr>
              <w:br/>
              <w:t>3. Асоциация на индустриалното свиневъдство в България</w:t>
            </w:r>
            <w:r w:rsidRPr="00385298">
              <w:rPr>
                <w:rFonts w:ascii="Times New Roman" w:hAnsi="Times New Roman" w:cs="Times New Roman"/>
                <w:sz w:val="24"/>
                <w:szCs w:val="24"/>
                <w:lang w:val="bg-BG"/>
              </w:rPr>
              <w:br/>
              <w:t>4. Асоциация на свиневъдите в България</w:t>
            </w:r>
            <w:r w:rsidRPr="00385298">
              <w:rPr>
                <w:rFonts w:ascii="Times New Roman" w:hAnsi="Times New Roman" w:cs="Times New Roman"/>
                <w:sz w:val="24"/>
                <w:szCs w:val="24"/>
                <w:lang w:val="bg-BG"/>
              </w:rPr>
              <w:br/>
              <w:t>5. Национален съюз на говедовъдите в България</w:t>
            </w:r>
            <w:r w:rsidRPr="00385298">
              <w:rPr>
                <w:rFonts w:ascii="Times New Roman" w:hAnsi="Times New Roman" w:cs="Times New Roman"/>
                <w:sz w:val="24"/>
                <w:szCs w:val="24"/>
                <w:lang w:val="bg-BG"/>
              </w:rPr>
              <w:br/>
              <w:t>6. Асоциация на месопреработвателите в България</w:t>
            </w:r>
            <w:r w:rsidRPr="00385298">
              <w:rPr>
                <w:rFonts w:ascii="Times New Roman" w:hAnsi="Times New Roman" w:cs="Times New Roman"/>
                <w:sz w:val="24"/>
                <w:szCs w:val="24"/>
                <w:lang w:val="bg-BG"/>
              </w:rPr>
              <w:br/>
              <w:t xml:space="preserve">7. Съюз на преработвателите </w:t>
            </w:r>
            <w:r w:rsidRPr="00385298">
              <w:rPr>
                <w:rFonts w:ascii="Times New Roman" w:hAnsi="Times New Roman" w:cs="Times New Roman"/>
                <w:sz w:val="24"/>
                <w:szCs w:val="24"/>
                <w:lang w:val="bg-BG"/>
              </w:rPr>
              <w:lastRenderedPageBreak/>
              <w:t>на плодове и зеленчуци</w:t>
            </w:r>
            <w:r w:rsidRPr="00385298">
              <w:rPr>
                <w:rFonts w:ascii="Times New Roman" w:hAnsi="Times New Roman" w:cs="Times New Roman"/>
                <w:sz w:val="24"/>
                <w:szCs w:val="24"/>
                <w:lang w:val="bg-BG"/>
              </w:rPr>
              <w:br/>
              <w:t>8. Асоциация на млекопреработвателите в България</w:t>
            </w:r>
            <w:r w:rsidRPr="00385298">
              <w:rPr>
                <w:rFonts w:ascii="Times New Roman" w:hAnsi="Times New Roman" w:cs="Times New Roman"/>
                <w:sz w:val="24"/>
                <w:szCs w:val="24"/>
                <w:lang w:val="bg-BG"/>
              </w:rPr>
              <w:br/>
              <w:t>9. Сдружение на производителите на растителни масла и маслопродукти в България</w:t>
            </w:r>
            <w:r w:rsidRPr="00385298">
              <w:rPr>
                <w:rFonts w:ascii="Times New Roman" w:hAnsi="Times New Roman" w:cs="Times New Roman"/>
                <w:sz w:val="24"/>
                <w:szCs w:val="24"/>
                <w:lang w:val="bg-BG"/>
              </w:rPr>
              <w:br/>
              <w:t>10. Национална асоциация на производителите и преработвателите на черупкови</w:t>
            </w:r>
            <w:r w:rsidRPr="00385298">
              <w:rPr>
                <w:rFonts w:ascii="Times New Roman" w:hAnsi="Times New Roman" w:cs="Times New Roman"/>
                <w:sz w:val="24"/>
                <w:szCs w:val="24"/>
                <w:lang w:val="bg-BG"/>
              </w:rPr>
              <w:br/>
              <w:t>плодове</w:t>
            </w:r>
            <w:r w:rsidRPr="00385298">
              <w:rPr>
                <w:rFonts w:ascii="Times New Roman" w:hAnsi="Times New Roman" w:cs="Times New Roman"/>
                <w:sz w:val="24"/>
                <w:szCs w:val="24"/>
                <w:lang w:val="bg-BG"/>
              </w:rPr>
              <w:br/>
              <w:t>11. Национална асоциация на младите фермери в България</w:t>
            </w:r>
            <w:r w:rsidRPr="00385298">
              <w:rPr>
                <w:rFonts w:ascii="Times New Roman" w:hAnsi="Times New Roman" w:cs="Times New Roman"/>
                <w:sz w:val="24"/>
                <w:szCs w:val="24"/>
                <w:lang w:val="bg-BG"/>
              </w:rPr>
              <w:br/>
              <w:t>12. Българска асоциация Биопродукти</w:t>
            </w:r>
            <w:r w:rsidRPr="00385298">
              <w:rPr>
                <w:rFonts w:ascii="Times New Roman" w:hAnsi="Times New Roman" w:cs="Times New Roman"/>
                <w:sz w:val="24"/>
                <w:szCs w:val="24"/>
                <w:lang w:val="bg-BG"/>
              </w:rPr>
              <w:br/>
              <w:t>13. Фондация за биологично земеделие „Биоселена“</w:t>
            </w:r>
            <w:r w:rsidRPr="00385298">
              <w:rPr>
                <w:rFonts w:ascii="Times New Roman" w:hAnsi="Times New Roman" w:cs="Times New Roman"/>
                <w:sz w:val="24"/>
                <w:szCs w:val="24"/>
                <w:lang w:val="bg-BG"/>
              </w:rPr>
              <w:br/>
              <w:t>14. Асоциация на овощарите в България</w:t>
            </w:r>
            <w:r w:rsidRPr="00385298">
              <w:rPr>
                <w:rFonts w:ascii="Times New Roman" w:hAnsi="Times New Roman" w:cs="Times New Roman"/>
                <w:sz w:val="24"/>
                <w:szCs w:val="24"/>
                <w:lang w:val="bg-BG"/>
              </w:rPr>
              <w:br/>
            </w:r>
            <w:r w:rsidRPr="00385298">
              <w:rPr>
                <w:rFonts w:ascii="Times New Roman" w:hAnsi="Times New Roman" w:cs="Times New Roman"/>
                <w:sz w:val="24"/>
                <w:szCs w:val="24"/>
                <w:lang w:val="bg-BG"/>
              </w:rPr>
              <w:lastRenderedPageBreak/>
              <w:t>15. Добруджански овощарски съюз</w:t>
            </w:r>
            <w:r w:rsidRPr="00385298">
              <w:rPr>
                <w:rFonts w:ascii="Times New Roman" w:hAnsi="Times New Roman" w:cs="Times New Roman"/>
                <w:sz w:val="24"/>
                <w:szCs w:val="24"/>
                <w:lang w:val="bg-BG"/>
              </w:rPr>
              <w:br/>
              <w:t>16. Съюз на оризопроизводителите в България</w:t>
            </w:r>
            <w:r w:rsidRPr="00385298">
              <w:rPr>
                <w:rFonts w:ascii="Times New Roman" w:hAnsi="Times New Roman" w:cs="Times New Roman"/>
                <w:sz w:val="24"/>
                <w:szCs w:val="24"/>
                <w:lang w:val="bg-BG"/>
              </w:rPr>
              <w:br/>
              <w:t>17. Съюз на българските мелничари (СБМ)</w:t>
            </w:r>
            <w:r w:rsidRPr="00385298">
              <w:rPr>
                <w:rFonts w:ascii="Times New Roman" w:hAnsi="Times New Roman" w:cs="Times New Roman"/>
                <w:sz w:val="24"/>
                <w:szCs w:val="24"/>
                <w:lang w:val="bg-BG"/>
              </w:rPr>
              <w:br/>
              <w:t>18. Национална браншова организация „Български пчеларски съюз“</w:t>
            </w:r>
            <w:r w:rsidRPr="00385298">
              <w:rPr>
                <w:rFonts w:ascii="Times New Roman" w:hAnsi="Times New Roman" w:cs="Times New Roman"/>
                <w:sz w:val="24"/>
                <w:szCs w:val="24"/>
                <w:lang w:val="bg-BG"/>
              </w:rPr>
              <w:br/>
              <w:t>19. Браншова камара на месодайното животновъдство</w:t>
            </w:r>
            <w:r w:rsidRPr="00385298">
              <w:rPr>
                <w:rFonts w:ascii="Times New Roman" w:hAnsi="Times New Roman" w:cs="Times New Roman"/>
                <w:sz w:val="24"/>
                <w:szCs w:val="24"/>
                <w:lang w:val="bg-BG"/>
              </w:rPr>
              <w:br/>
              <w:t>20. Фондация за околна среда и земеделие</w:t>
            </w:r>
            <w:r w:rsidRPr="00385298">
              <w:rPr>
                <w:rFonts w:ascii="Times New Roman" w:hAnsi="Times New Roman" w:cs="Times New Roman"/>
                <w:sz w:val="24"/>
                <w:szCs w:val="24"/>
                <w:lang w:val="bg-BG"/>
              </w:rPr>
              <w:br/>
              <w:t>21. Национален браншови пчеларски</w:t>
            </w:r>
          </w:p>
        </w:tc>
        <w:tc>
          <w:tcPr>
            <w:tcW w:w="2118" w:type="pct"/>
            <w:vAlign w:val="center"/>
          </w:tcPr>
          <w:p w:rsidR="003D3883" w:rsidRPr="00385298" w:rsidRDefault="003D3883" w:rsidP="004B7675">
            <w:pPr>
              <w:numPr>
                <w:ilvl w:val="0"/>
                <w:numId w:val="1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lastRenderedPageBreak/>
              <w:t>Настояваме да бъде подсигурен ресурс за увеличаване на бюджетите по подмерки 4.1 и 4.2 от проведените през 2021 г. приеми за земеделски стопани и преработватели.</w:t>
            </w:r>
          </w:p>
          <w:p w:rsidR="003D3883" w:rsidRPr="00385298" w:rsidRDefault="003D3883" w:rsidP="004B7675">
            <w:pPr>
              <w:ind w:left="720"/>
              <w:contextualSpacing/>
              <w:jc w:val="both"/>
              <w:rPr>
                <w:rFonts w:ascii="Times New Roman" w:eastAsia="Times New Roman" w:hAnsi="Times New Roman" w:cs="Times New Roman"/>
                <w:b/>
                <w:sz w:val="24"/>
                <w:szCs w:val="24"/>
                <w:lang w:val="bg-BG"/>
              </w:rPr>
            </w:pPr>
            <w:r w:rsidRPr="00385298">
              <w:rPr>
                <w:rFonts w:ascii="Times New Roman" w:eastAsia="Times New Roman" w:hAnsi="Times New Roman" w:cs="Times New Roman"/>
                <w:sz w:val="24"/>
                <w:szCs w:val="24"/>
                <w:lang w:val="bg-BG"/>
              </w:rPr>
              <w:br/>
              <w:t>2. Категорично се обявяваме против пренасочването на средства от ПРСР 2014-2020 към държавни структури и отваряне на приеми през 2023 година за тях по подмерки 5.1 и 4.3.</w:t>
            </w:r>
            <w:r w:rsidRPr="00385298">
              <w:rPr>
                <w:rFonts w:ascii="Times New Roman" w:eastAsia="Times New Roman" w:hAnsi="Times New Roman" w:cs="Times New Roman"/>
                <w:sz w:val="24"/>
                <w:szCs w:val="24"/>
                <w:lang w:val="bg-BG"/>
              </w:rPr>
              <w:br/>
            </w:r>
            <w:r w:rsidRPr="00385298">
              <w:rPr>
                <w:rFonts w:ascii="Times New Roman" w:eastAsia="Times New Roman" w:hAnsi="Times New Roman" w:cs="Times New Roman"/>
                <w:b/>
                <w:sz w:val="24"/>
                <w:szCs w:val="24"/>
                <w:lang w:val="bg-BG"/>
              </w:rPr>
              <w:t xml:space="preserve">Аргументи, касаещи позицията по т. 1: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В края на прилагането на удължената с 2 години ПРСР 2014-2020 УО освен да размества средствата по фокус области, следва да използва в максимална степен и много експедитивно възможността за прехвърляне на средства както и наддоговориране на бюджетите по процедури на инвестиционни частни подмерки, чийто напредък по данни на ДФЗ видимо изостава спрямо този на публичните и компенсаторните</w:t>
            </w:r>
            <w:r w:rsidRPr="00385298">
              <w:rPr>
                <w:rFonts w:ascii="Times New Roman" w:eastAsia="Times New Roman" w:hAnsi="Times New Roman" w:cs="Times New Roman"/>
                <w:sz w:val="24"/>
                <w:szCs w:val="24"/>
                <w:lang w:val="bg-BG"/>
              </w:rPr>
              <w:br/>
              <w:t>мерки. В условията на продължаващата икономическа криза, неизползването на възможността за прехвърляне на средства и неосигуряването на свеж финансов ресурс за предприятията, би</w:t>
            </w:r>
            <w:r w:rsidRPr="00385298">
              <w:rPr>
                <w:rFonts w:ascii="Times New Roman" w:eastAsia="Times New Roman" w:hAnsi="Times New Roman" w:cs="Times New Roman"/>
                <w:sz w:val="24"/>
                <w:szCs w:val="24"/>
                <w:lang w:val="bg-BG"/>
              </w:rPr>
              <w:br/>
              <w:t>могло да доведе до задълбочаване на проблемите в сектора и невъзможност за изготвяне на проекти и кандидатстване в рамките на предвидените за това възможности по Стратегическия</w:t>
            </w:r>
            <w:r w:rsidRPr="00385298">
              <w:rPr>
                <w:rFonts w:ascii="Times New Roman" w:eastAsia="Times New Roman" w:hAnsi="Times New Roman" w:cs="Times New Roman"/>
                <w:sz w:val="24"/>
                <w:szCs w:val="24"/>
                <w:lang w:val="bg-BG"/>
              </w:rPr>
              <w:br/>
              <w:t xml:space="preserve">план (констатация на самия УО). Подсигуряването на ресурс за увеличаване на бюджетите по подмерки 4.1 и 4.2 от </w:t>
            </w:r>
            <w:r w:rsidRPr="00385298">
              <w:rPr>
                <w:rFonts w:ascii="Times New Roman" w:eastAsia="Times New Roman" w:hAnsi="Times New Roman" w:cs="Times New Roman"/>
                <w:sz w:val="24"/>
                <w:szCs w:val="24"/>
                <w:lang w:val="bg-BG"/>
              </w:rPr>
              <w:lastRenderedPageBreak/>
              <w:t>проведените през 2021 г. приеми би позволило финансиране да достигне</w:t>
            </w:r>
            <w:r w:rsidRPr="00385298">
              <w:rPr>
                <w:rFonts w:ascii="Times New Roman" w:eastAsia="Times New Roman" w:hAnsi="Times New Roman" w:cs="Times New Roman"/>
                <w:sz w:val="24"/>
                <w:szCs w:val="24"/>
                <w:lang w:val="bg-BG"/>
              </w:rPr>
              <w:br/>
              <w:t>за повече чакащи инвестиционни проекти, които са в процес на изпълнение или пък вече са реализирани, което би допринесло за:</w:t>
            </w:r>
            <w:r w:rsidRPr="00385298">
              <w:rPr>
                <w:rFonts w:ascii="Times New Roman" w:eastAsia="Times New Roman" w:hAnsi="Times New Roman" w:cs="Times New Roman"/>
                <w:sz w:val="24"/>
                <w:szCs w:val="24"/>
                <w:lang w:val="bg-BG"/>
              </w:rPr>
              <w:br/>
              <w:t>- подкрепа инвестициите на проекти, които дори и да не са в чувствителните сектори, определени преди кризата от войната в Украйна, ще са важна подкрепа за реализацията на инвестициите на засегнатите от ефектите на конфликта фермери и преработватели;</w:t>
            </w:r>
            <w:r w:rsidRPr="00385298">
              <w:rPr>
                <w:rFonts w:ascii="Times New Roman" w:eastAsia="Times New Roman" w:hAnsi="Times New Roman" w:cs="Times New Roman"/>
                <w:sz w:val="24"/>
                <w:szCs w:val="24"/>
                <w:lang w:val="bg-BG"/>
              </w:rPr>
              <w:br/>
              <w:t>- адекватно и отговорно управленско решение, отразяващо лимитирания експертен административен капацитет на ДФЗ и УО, които са ангажирани в паралелното прилагане на ПРСР 2014-2020, проектите за сектор земеделие от Националния план за възстановяване и устойчивост (НПВУ), Стратегическия план по ОСП 2023-2027, а ДФЗ и редица схеми на държавни помощи;</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 посрещане интереса, нуждите и очакванията на множеството кандидати земеделски стопани и преработватели, особено в контекста на многопластовата криза, включително ликвидна;</w:t>
            </w:r>
            <w:r w:rsidRPr="00385298">
              <w:rPr>
                <w:rFonts w:ascii="Times New Roman" w:eastAsia="Times New Roman" w:hAnsi="Times New Roman" w:cs="Times New Roman"/>
                <w:sz w:val="24"/>
                <w:szCs w:val="24"/>
                <w:lang w:val="bg-BG"/>
              </w:rPr>
              <w:br/>
              <w:t>- целесъобразно, ефективно и навременно използване на средствата от Програмата, недопускане на декъмитмънт и принос за постигане на целите на Програмата, която е на</w:t>
            </w:r>
            <w:r w:rsidRPr="00385298">
              <w:rPr>
                <w:rFonts w:ascii="Times New Roman" w:eastAsia="Times New Roman" w:hAnsi="Times New Roman" w:cs="Times New Roman"/>
                <w:sz w:val="24"/>
                <w:szCs w:val="24"/>
                <w:lang w:val="bg-BG"/>
              </w:rPr>
              <w:br/>
              <w:t>последно място в класацията за изпълнението на всички оперативни програми в България (по последни данни на ДФЗ 61.02% е усвояването спрямо общ бюджет по Програмата/ЕЗФРСР);</w:t>
            </w:r>
            <w:r w:rsidRPr="00385298">
              <w:rPr>
                <w:rFonts w:ascii="Times New Roman" w:eastAsia="Times New Roman" w:hAnsi="Times New Roman" w:cs="Times New Roman"/>
                <w:sz w:val="24"/>
                <w:szCs w:val="24"/>
                <w:lang w:val="bg-BG"/>
              </w:rPr>
              <w:br/>
              <w:t xml:space="preserve">- също така, следва да се отбележи, че предприятия, преработващи земеделска продукция, не са допустими за пряка инвестиционна подкрепа по НПВУ, средствата от който са предвидени за технологична и екологична модернизация;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 в тази връзка, полученият вакуум във финансирането на преработвателните предприятия с цел постигане на по-високите</w:t>
            </w:r>
            <w:r w:rsidRPr="00385298">
              <w:rPr>
                <w:rFonts w:ascii="Times New Roman" w:eastAsia="Times New Roman" w:hAnsi="Times New Roman" w:cs="Times New Roman"/>
                <w:sz w:val="24"/>
                <w:szCs w:val="24"/>
                <w:lang w:val="bg-BG"/>
              </w:rPr>
              <w:br/>
            </w:r>
            <w:r w:rsidRPr="00385298">
              <w:rPr>
                <w:rFonts w:ascii="Times New Roman" w:eastAsia="Times New Roman" w:hAnsi="Times New Roman" w:cs="Times New Roman"/>
                <w:sz w:val="24"/>
                <w:szCs w:val="24"/>
                <w:lang w:val="bg-BG"/>
              </w:rPr>
              <w:lastRenderedPageBreak/>
              <w:t>екологични цели на Съюза би могъл да се покрие до известна степен чрез прехвърлянето на допълнителни средства към бюджета на подмярката (констатации на самия УО).</w:t>
            </w:r>
            <w:r w:rsidRPr="00385298">
              <w:rPr>
                <w:rFonts w:ascii="Times New Roman" w:eastAsia="Times New Roman" w:hAnsi="Times New Roman" w:cs="Times New Roman"/>
                <w:sz w:val="24"/>
                <w:szCs w:val="24"/>
                <w:lang w:val="bg-BG"/>
              </w:rPr>
              <w:br/>
            </w:r>
            <w:r w:rsidRPr="00385298">
              <w:rPr>
                <w:rFonts w:ascii="Times New Roman" w:eastAsia="Times New Roman" w:hAnsi="Times New Roman" w:cs="Times New Roman"/>
                <w:b/>
                <w:sz w:val="24"/>
                <w:szCs w:val="24"/>
                <w:lang w:val="bg-BG"/>
              </w:rPr>
              <w:t>Аргументи, касаещи позицията по т. 2:</w:t>
            </w:r>
            <w:r w:rsidRPr="00385298">
              <w:rPr>
                <w:rFonts w:ascii="Times New Roman" w:eastAsia="Times New Roman" w:hAnsi="Times New Roman" w:cs="Times New Roman"/>
                <w:sz w:val="24"/>
                <w:szCs w:val="24"/>
                <w:lang w:val="bg-BG"/>
              </w:rPr>
              <w:t xml:space="preserve">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В условията на множеството подадени инвестиционни проекти по подмерки 4.1 и 4.2, чакащи одобрение за финансиране, както и</w:t>
            </w:r>
            <w:r w:rsidRPr="00385298">
              <w:rPr>
                <w:rFonts w:ascii="Times New Roman" w:eastAsia="Times New Roman" w:hAnsi="Times New Roman" w:cs="Times New Roman"/>
                <w:sz w:val="24"/>
                <w:szCs w:val="24"/>
                <w:lang w:val="bg-BG"/>
              </w:rPr>
              <w:br/>
              <w:t>продължаващата необходимост от инвестиции в стопанствата от животновъдния сектор за повишаване на биосигурността срещу болестите бяс, птичи грип, Африканска чума по свинете (за което бе разработена новата мярка 5, по-конкретно подмярка 5.1), МЗм/УО предлага през 2023 г.:</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-Нов прием по подмярка 4.3 ( в периода май- юли 2023 г.) с общ бюджет в размер на 50 млн. евро за единствения бенефициент „Напоителни системи“ ЕАД, при таван на едно проектно предложение до левовата равностойност на 50 млн. евро, за финансиране на 100 % материални инвестиции в напоителни системи, включващи:</w:t>
            </w:r>
            <w:r w:rsidRPr="00385298">
              <w:rPr>
                <w:rFonts w:ascii="Times New Roman" w:eastAsia="Times New Roman" w:hAnsi="Times New Roman" w:cs="Times New Roman"/>
                <w:sz w:val="24"/>
                <w:szCs w:val="24"/>
                <w:lang w:val="bg-BG"/>
              </w:rPr>
              <w:br/>
              <w:t xml:space="preserve">-ремонт/реконструкция/рехабилитация на напоителни инсталации и напоителна инфраструктура;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-закупуване и инсталиране на нови машини, съоръжения и оборудване за напояване, системи за отчитане, измерване и мониторинг, включително и такива, пряко свързани с подобряване на енергийната ефективност и опазване на околната среда;</w:t>
            </w:r>
            <w:r w:rsidRPr="00385298">
              <w:rPr>
                <w:rFonts w:ascii="Times New Roman" w:eastAsia="Times New Roman" w:hAnsi="Times New Roman" w:cs="Times New Roman"/>
                <w:sz w:val="24"/>
                <w:szCs w:val="24"/>
                <w:lang w:val="bg-BG"/>
              </w:rPr>
              <w:br/>
              <w:t>-както и нематериални инвестиции за: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w:t>
            </w:r>
            <w:r w:rsidRPr="00385298">
              <w:rPr>
                <w:rFonts w:ascii="Times New Roman" w:eastAsia="Times New Roman" w:hAnsi="Times New Roman" w:cs="Times New Roman"/>
                <w:sz w:val="24"/>
                <w:szCs w:val="24"/>
                <w:lang w:val="bg-BG"/>
              </w:rPr>
              <w:br/>
              <w:t xml:space="preserve">за техническа осъществимост на проекта; разходи за ноу-хау, придобиване на патентни права и лицензи, и процеси, </w:t>
            </w:r>
            <w:r w:rsidRPr="00385298">
              <w:rPr>
                <w:rFonts w:ascii="Times New Roman" w:eastAsia="Times New Roman" w:hAnsi="Times New Roman" w:cs="Times New Roman"/>
                <w:sz w:val="24"/>
                <w:szCs w:val="24"/>
                <w:lang w:val="bg-BG"/>
              </w:rPr>
              <w:lastRenderedPageBreak/>
              <w:t>необходими за изготвяне и изпълнение на проекта;</w:t>
            </w:r>
            <w:r w:rsidRPr="00385298">
              <w:rPr>
                <w:rFonts w:ascii="Times New Roman" w:eastAsia="Times New Roman" w:hAnsi="Times New Roman" w:cs="Times New Roman"/>
                <w:sz w:val="24"/>
                <w:szCs w:val="24"/>
                <w:lang w:val="bg-BG"/>
              </w:rPr>
              <w:br/>
              <w:t>-закупуване на софтуер, пряко свързан с дейността (по данни от публикуваната в сайта на МЗм ИГРП за 2023 г.).</w:t>
            </w:r>
            <w:r w:rsidRPr="00385298">
              <w:rPr>
                <w:rFonts w:ascii="Times New Roman" w:eastAsia="Times New Roman" w:hAnsi="Times New Roman" w:cs="Times New Roman"/>
                <w:sz w:val="24"/>
                <w:szCs w:val="24"/>
                <w:lang w:val="bg-BG"/>
              </w:rPr>
              <w:br/>
              <w:t>Съществено важно за отбелязване е, че от представената от УО/МЗм към членовете на КН информация не става категорично ясно каква е пълната финансова обезпеченост и от кои</w:t>
            </w:r>
            <w:r w:rsidRPr="00385298">
              <w:rPr>
                <w:rFonts w:ascii="Times New Roman" w:eastAsia="Times New Roman" w:hAnsi="Times New Roman" w:cs="Times New Roman"/>
                <w:sz w:val="24"/>
                <w:szCs w:val="24"/>
                <w:lang w:val="bg-BG"/>
              </w:rPr>
              <w:br/>
              <w:t>мерки/подмерки конкретно се пренасочва финансов ресурс за цялостното обезпечаване на тези приеми през 2023 г. както по подмярка 4.3 (за посочените 50 млн. евро за приема са налични 20</w:t>
            </w:r>
            <w:r w:rsidRPr="00385298">
              <w:rPr>
                <w:rFonts w:ascii="Times New Roman" w:eastAsia="Times New Roman" w:hAnsi="Times New Roman" w:cs="Times New Roman"/>
                <w:sz w:val="24"/>
                <w:szCs w:val="24"/>
                <w:lang w:val="bg-BG"/>
              </w:rPr>
              <w:br/>
              <w:t>млн. евро от „остатъци“ от компенсаторните мерки, за които неминуемо ще трябва да се произнесат службите на ЕК- ГД АГРИ и ГД Околна среда; липсва информация от къде ще бъде</w:t>
            </w:r>
            <w:r w:rsidRPr="00385298">
              <w:rPr>
                <w:rFonts w:ascii="Times New Roman" w:eastAsia="Times New Roman" w:hAnsi="Times New Roman" w:cs="Times New Roman"/>
                <w:sz w:val="24"/>
                <w:szCs w:val="24"/>
                <w:lang w:val="bg-BG"/>
              </w:rPr>
              <w:br/>
              <w:t>осигурен останалия ресурс), така и по подмярка 5.1 (относно предвижданите 15 млн. евро за 2та целеви приеми- последните актуални данни на ДФЗ не показват пълното наличие на този</w:t>
            </w:r>
            <w:r w:rsidRPr="00385298">
              <w:rPr>
                <w:rFonts w:ascii="Times New Roman" w:eastAsia="Times New Roman" w:hAnsi="Times New Roman" w:cs="Times New Roman"/>
                <w:sz w:val="24"/>
                <w:szCs w:val="24"/>
                <w:lang w:val="bg-BG"/>
              </w:rPr>
              <w:br/>
              <w:t>свободен финансов ресурс в мярка 5).</w:t>
            </w:r>
            <w:r w:rsidRPr="00385298">
              <w:rPr>
                <w:rFonts w:ascii="Times New Roman" w:eastAsia="Times New Roman" w:hAnsi="Times New Roman" w:cs="Times New Roman"/>
                <w:sz w:val="24"/>
                <w:szCs w:val="24"/>
                <w:lang w:val="bg-BG"/>
              </w:rPr>
              <w:br/>
              <w:t>В изпратеното предложение за изменения в текста на подмярка 4.3 е посочено, че „Напоителни системи“ ЕАД ще подготви и подаде едно проектно предложение, стойността на което ще бъде</w:t>
            </w:r>
            <w:r w:rsidRPr="00385298">
              <w:rPr>
                <w:rFonts w:ascii="Times New Roman" w:eastAsia="Times New Roman" w:hAnsi="Times New Roman" w:cs="Times New Roman"/>
                <w:sz w:val="24"/>
                <w:szCs w:val="24"/>
                <w:lang w:val="bg-BG"/>
              </w:rPr>
              <w:br/>
              <w:t>в размер на 50 млн. евро, съгласно определения бюджет за приема по подмярката в ИГРП за 2023 година. На КН беше представено прехвърлянето само на 20 млн. евро към подмярка 4.3, като липсва информация в представените материали от къде ще бъдат осигурени останалите 30 млн. евро. Ако се приеме, че приемът ще бъде отворен, без да е осигурен изцяло необходимия ресурс от 50 млн. евро и ще се разчита от допълването му с освободени средства и средства от наддоговаряне, то съществува реален риск от загуба на средства, поради следните мотиви:</w:t>
            </w:r>
            <w:r w:rsidRPr="00385298">
              <w:rPr>
                <w:rFonts w:ascii="Times New Roman" w:eastAsia="Times New Roman" w:hAnsi="Times New Roman" w:cs="Times New Roman"/>
                <w:sz w:val="24"/>
                <w:szCs w:val="24"/>
                <w:lang w:val="bg-BG"/>
              </w:rPr>
              <w:br/>
            </w:r>
            <w:r w:rsidRPr="00385298">
              <w:rPr>
                <w:rFonts w:ascii="Times New Roman" w:eastAsia="Times New Roman" w:hAnsi="Times New Roman" w:cs="Times New Roman"/>
                <w:sz w:val="24"/>
                <w:szCs w:val="24"/>
                <w:lang w:val="bg-BG"/>
              </w:rPr>
              <w:lastRenderedPageBreak/>
              <w:t>Ако проектът на стойност 50 млн. евро бъде одобрен и сключен договор с МЗм/ДФЗ под условие (поради липса на 30 000 000 евро), то за да стартира изпълнението му, следва да се изчака освобождаване/осигуряване на останалите средства.</w:t>
            </w:r>
            <w:r w:rsidRPr="00385298">
              <w:rPr>
                <w:rFonts w:ascii="Times New Roman" w:eastAsia="Times New Roman" w:hAnsi="Times New Roman" w:cs="Times New Roman"/>
                <w:sz w:val="24"/>
                <w:szCs w:val="24"/>
                <w:lang w:val="bg-BG"/>
              </w:rPr>
              <w:br/>
              <w:t xml:space="preserve"> „Напоителни системи“ ЕАД е държавно дружество, което избира изпълнител, чрез възлагане на обществени поръчки по реда на ЗОП. Съгласно чл. 114 от ЗОП, „Напоителни системи“ ЕАД може да избере изпълнител/и и да сключи договор подусловие, „...когато при откриване на процедурата не е осигурено финансиране...“, но„....всяка от страните може да поиска прекратяване на договора без предизвестие след изтичане на тримесечен срок от сключването му“.</w:t>
            </w:r>
            <w:r w:rsidRPr="00385298">
              <w:rPr>
                <w:rFonts w:ascii="Times New Roman" w:eastAsia="Times New Roman" w:hAnsi="Times New Roman" w:cs="Times New Roman"/>
                <w:sz w:val="24"/>
                <w:szCs w:val="24"/>
                <w:lang w:val="bg-BG"/>
              </w:rPr>
              <w:br/>
              <w:t>Във връзка с тежката и динамична икономическа обстановка, повишаващата се инфлация, респ. цени, съществува реален риск, при избран изпълнител с договор под условие, същият да поиска</w:t>
            </w:r>
            <w:r w:rsidRPr="00385298">
              <w:rPr>
                <w:rFonts w:ascii="Times New Roman" w:eastAsia="Times New Roman" w:hAnsi="Times New Roman" w:cs="Times New Roman"/>
                <w:sz w:val="24"/>
                <w:szCs w:val="24"/>
                <w:lang w:val="bg-BG"/>
              </w:rPr>
              <w:br/>
              <w:t>неговото прекратяване след изтичане на тримесечен срок от сключването му. Посочените аргументи за риска пред изпълнението на подмярка 4.3 са напълно валидни и за намеренията на УО/МЗм по подмярка 5.1.</w:t>
            </w:r>
            <w:r w:rsidRPr="00385298">
              <w:rPr>
                <w:rFonts w:ascii="Times New Roman" w:eastAsia="Times New Roman" w:hAnsi="Times New Roman" w:cs="Times New Roman"/>
                <w:sz w:val="24"/>
                <w:szCs w:val="24"/>
                <w:lang w:val="bg-BG"/>
              </w:rPr>
              <w:br/>
              <w:t>- Два целеви приема по подмярка 5.1 в периода юли- септември 2023 г.:</w:t>
            </w:r>
            <w:r w:rsidRPr="00385298">
              <w:rPr>
                <w:rFonts w:ascii="Times New Roman" w:eastAsia="Times New Roman" w:hAnsi="Times New Roman" w:cs="Times New Roman"/>
                <w:sz w:val="24"/>
                <w:szCs w:val="24"/>
                <w:lang w:val="bg-BG"/>
              </w:rPr>
              <w:br/>
              <w:t>1/ целеви прием за въведените нови допустими бенефициенти – публични субекти висши училища, които ще кандидатстват за подкрепа на инвестиции в специализирано лабораторно</w:t>
            </w:r>
            <w:r w:rsidRPr="00385298">
              <w:rPr>
                <w:rFonts w:ascii="Times New Roman" w:eastAsia="Times New Roman" w:hAnsi="Times New Roman" w:cs="Times New Roman"/>
                <w:sz w:val="24"/>
                <w:szCs w:val="24"/>
                <w:lang w:val="bg-BG"/>
              </w:rPr>
              <w:br/>
              <w:t>оборудване, при 9 млн. евро е предвиждан общ бюджет за приема, 3 млн. евро таван на проект и до 80 % интензитет на подпомагане; конкретните три бенефициента са: Тракийски университет-Стара Загора, Аграрен университет-Пловдив и Университет за хранителни технологии-Пловдив;</w:t>
            </w:r>
            <w:r w:rsidRPr="00385298">
              <w:rPr>
                <w:rFonts w:ascii="Times New Roman" w:eastAsia="Times New Roman" w:hAnsi="Times New Roman" w:cs="Times New Roman"/>
                <w:sz w:val="24"/>
                <w:szCs w:val="24"/>
                <w:lang w:val="bg-BG"/>
              </w:rPr>
              <w:br/>
              <w:t xml:space="preserve">2/ целеви прием за държавната структура Изпълнителна агенция „Борба с градушките“ (ИАБГ) за подкрепа на разходи </w:t>
            </w:r>
            <w:r w:rsidRPr="00385298">
              <w:rPr>
                <w:rFonts w:ascii="Times New Roman" w:eastAsia="Times New Roman" w:hAnsi="Times New Roman" w:cs="Times New Roman"/>
                <w:sz w:val="24"/>
                <w:szCs w:val="24"/>
                <w:lang w:val="bg-BG"/>
              </w:rPr>
              <w:lastRenderedPageBreak/>
              <w:t>за закупуване на дронове, вкл. на общи разходи свързани със съответния проект за предпроектни проучвания, такси, хонорари за архитекти, инженери и консултантски услуги и при следните финансови параметри- 6 млн. евро предвиждан общ бюджет за приема, 6 млн. евро таван на проект и до 80 -100 % интензитет на подпомагане.</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Както УО/МЗм посочва, това ще е един „пилотен“ за страната ни проект. Важно за отбелязване е, че въпреки многото експерименти и проекти в последните години, насочени към употребата</w:t>
            </w:r>
            <w:r w:rsidRPr="00385298">
              <w:rPr>
                <w:rFonts w:ascii="Times New Roman" w:eastAsia="Times New Roman" w:hAnsi="Times New Roman" w:cs="Times New Roman"/>
                <w:sz w:val="24"/>
                <w:szCs w:val="24"/>
                <w:lang w:val="bg-BG"/>
              </w:rPr>
              <w:br/>
              <w:t>на безпилотни летателни апарати (БЛА) в метеорологията, все още има много нерешени проблеми, свързани със сигурността на полета, правилата за летене, влиянието върху безопасността на полета на пилотираните самолети, устойчивостта на конструкцията при различни неблагоприятни прояви на вятъра и на околната среда като цяло. От друга страна използването на дронове за изкуствени въздействия върху атмосферата трябва да отговарят задължително освен на законодателството в областта на околната среда, но и на регламентите</w:t>
            </w:r>
            <w:r w:rsidRPr="00385298">
              <w:rPr>
                <w:rFonts w:ascii="Times New Roman" w:eastAsia="Times New Roman" w:hAnsi="Times New Roman" w:cs="Times New Roman"/>
                <w:sz w:val="24"/>
                <w:szCs w:val="24"/>
                <w:lang w:val="bg-BG"/>
              </w:rPr>
              <w:br/>
              <w:t>на ЕС относно правилата и процедурите за експлоатация на БЛА. Както самолетите, така и дроновете трябва да са задължително сертифицирани за извършване на дейност по изкуствени</w:t>
            </w:r>
            <w:r w:rsidRPr="00385298">
              <w:rPr>
                <w:rFonts w:ascii="Times New Roman" w:eastAsia="Times New Roman" w:hAnsi="Times New Roman" w:cs="Times New Roman"/>
                <w:sz w:val="24"/>
                <w:szCs w:val="24"/>
                <w:lang w:val="bg-BG"/>
              </w:rPr>
              <w:br/>
              <w:t xml:space="preserve">въздействия (противоградова защита, стимулиране на валежите).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В България за полетите c безпилотни летателни апарати ce изиcĸвa пpeдвapитeлнo одобрение oт Глaвнa диpeĸция</w:t>
            </w:r>
            <w:r w:rsidRPr="00385298">
              <w:rPr>
                <w:rFonts w:ascii="Times New Roman" w:eastAsia="Times New Roman" w:hAnsi="Times New Roman" w:cs="Times New Roman"/>
                <w:sz w:val="24"/>
                <w:szCs w:val="24"/>
                <w:lang w:val="bg-BG"/>
              </w:rPr>
              <w:br/>
              <w:t>„Гpaждaнcĸa въздyxoплaвaтeлнa aдминиcтpaция“ (ГД ГBA). По данни на ИАБГ все още в световната практика няма сведения за използване на дронове като метод за борба с градушките.</w:t>
            </w:r>
            <w:r w:rsidRPr="00385298">
              <w:rPr>
                <w:rFonts w:ascii="Times New Roman" w:eastAsia="Times New Roman" w:hAnsi="Times New Roman" w:cs="Times New Roman"/>
                <w:sz w:val="24"/>
                <w:szCs w:val="24"/>
                <w:lang w:val="bg-BG"/>
              </w:rPr>
              <w:br/>
              <w:t xml:space="preserve">Нашите организации считат, че в малкото оставащо време до края на ПРСР 2014-2020 УО/МЗм следва да подходи </w:t>
            </w:r>
            <w:r w:rsidRPr="00385298">
              <w:rPr>
                <w:rFonts w:ascii="Times New Roman" w:eastAsia="Times New Roman" w:hAnsi="Times New Roman" w:cs="Times New Roman"/>
                <w:sz w:val="24"/>
                <w:szCs w:val="24"/>
                <w:lang w:val="bg-BG"/>
              </w:rPr>
              <w:lastRenderedPageBreak/>
              <w:t>изключително отговорно, реалистично и да приеме най-разумните и целесъобразни решения, които да предотвратяват безвъзвратното отчисление на средства от ПРСР чрез следващ декъмитмънт или в края на Програмата. Това наше разбиране изключва идеите на УО/МЗм за стартиране на нови таргетирани към публични</w:t>
            </w:r>
            <w:r w:rsidRPr="00385298">
              <w:rPr>
                <w:rFonts w:ascii="Times New Roman" w:eastAsia="Times New Roman" w:hAnsi="Times New Roman" w:cs="Times New Roman"/>
                <w:sz w:val="24"/>
                <w:szCs w:val="24"/>
                <w:lang w:val="bg-BG"/>
              </w:rPr>
              <w:br/>
              <w:t>субекти приеми по подмерки 4.3 и 5.1, които са рискови за реализация поради ограниченост на времето, сложността на провежданите процедури за избор на изпълнители по ЗОП, липсата на финансова обезпеченост или пък поради своя „пилотен</w:t>
            </w:r>
            <w:r w:rsidRPr="00385298">
              <w:rPr>
                <w:rFonts w:ascii="Times New Roman" w:eastAsia="Times New Roman" w:hAnsi="Times New Roman" w:cs="Times New Roman"/>
                <w:sz w:val="24"/>
                <w:szCs w:val="24"/>
                <w:lang w:val="bg-BG"/>
              </w:rPr>
              <w:br/>
              <w:t>характер“ и липсата на опит/нормативна уредба.</w:t>
            </w:r>
            <w:r w:rsidRPr="00385298">
              <w:rPr>
                <w:rFonts w:ascii="Times New Roman" w:eastAsia="Times New Roman" w:hAnsi="Times New Roman" w:cs="Times New Roman"/>
                <w:sz w:val="24"/>
                <w:szCs w:val="24"/>
                <w:lang w:val="bg-BG"/>
              </w:rPr>
              <w:br/>
              <w:t>УВАЖАЕМИ Г-Н ГЕЧЕВ,</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УВАЖАЕМИ Г-Н СЪБЕВ,</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Заявяваме нашите високи очаквания към Вашето разбиране за сериозността на предложенията и необходимостта от незабавни и решителни действия за тяхното прилагане.</w:t>
            </w:r>
            <w:r w:rsidRPr="00385298">
              <w:rPr>
                <w:rFonts w:ascii="Times New Roman" w:eastAsia="Times New Roman" w:hAnsi="Times New Roman" w:cs="Times New Roman"/>
                <w:sz w:val="24"/>
                <w:szCs w:val="24"/>
                <w:lang w:val="bg-BG"/>
              </w:rPr>
              <w:br/>
              <w:t>Подчертаваме, че повече от всякога изискваме решения в подкрепа на земеделските производители и преработвателите, чиито инвестиции и устойчивост стоят в основата на</w:t>
            </w:r>
            <w:r w:rsidRPr="00385298">
              <w:rPr>
                <w:rFonts w:ascii="Times New Roman" w:eastAsia="Times New Roman" w:hAnsi="Times New Roman" w:cs="Times New Roman"/>
                <w:sz w:val="24"/>
                <w:szCs w:val="24"/>
                <w:lang w:val="bg-BG"/>
              </w:rPr>
              <w:br/>
              <w:t>живота, икономиката и развитието на селските райони.</w:t>
            </w:r>
            <w:r w:rsidRPr="00385298">
              <w:rPr>
                <w:rFonts w:ascii="Times New Roman" w:eastAsia="Times New Roman" w:hAnsi="Times New Roman" w:cs="Times New Roman"/>
                <w:sz w:val="24"/>
                <w:szCs w:val="24"/>
                <w:lang w:val="bg-BG"/>
              </w:rPr>
              <w:br/>
              <w:t>Напомняме, че от това Ви решение зависи възможността да се избегне риска от следващ „декъмитмънт“ на ПРСР 2014-2020 или такъв в края на Програмата (в края на 2025 година).</w:t>
            </w:r>
          </w:p>
        </w:tc>
        <w:tc>
          <w:tcPr>
            <w:tcW w:w="2217" w:type="pct"/>
            <w:vAlign w:val="center"/>
          </w:tcPr>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1. Приема се по принцип. В предложението за Шестнадесето изменение на ПРСР 2014-2020 е предвидено прехвърляне на средства между фокус области в подмярка 4.1 „Инвестиции в земеделски стопанства“, с което ще бъде осигурено финансиране на проектни предложения, които са получили до 41 т. вкл. по проведения през 2021 г. прием на проектни предложения.</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След приключване обработката на проектните предложения по подмярка 4.2 „Инвестиции в преработка/маркетинг на селскостопански продукти“, подадени в рамките на проведения прием през 2021 г., ще бъде извършен анализ за разпределението на договорените средства по приоритети и фокус области. В случай, че е налице възможност за реалокация между фокус области в рамките на подмярка 4.2, същата ще бъде извършена по аналогия на предложеното прехвърляне по подмярка 4.1, с цел одобрение на по-голям брой проектни предложения.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Също така, в съответствие с взетото решение на 20-то заседание на Комитета по наблюдение на ПРСР 2014-2020 се обследват възможностите за извършване на наддоговаряне по двете подмерки. Изготвеният анализ ще бъде изпратен на членовете на КН за разглеждане и съгласуване.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Следва да се има предвид, че предстои отваряне на прием по НПВУ, насочен към екологична и технологична модернизация на стопанствата. Приемът ще даде възможност на всички, които имат промяна в инвестиционните си намерения от последния прием през 2021 г. или не са получили финансова помощ по подмярка 4.1, да се възползват от финансиране по опростена процедура за </w:t>
            </w:r>
            <w:r w:rsidRPr="00385298">
              <w:rPr>
                <w:rFonts w:ascii="Times New Roman" w:eastAsia="Times New Roman" w:hAnsi="Times New Roman" w:cs="Times New Roman"/>
                <w:sz w:val="24"/>
                <w:szCs w:val="24"/>
                <w:lang w:val="bg-BG" w:eastAsia="bg-BG"/>
              </w:rPr>
              <w:lastRenderedPageBreak/>
              <w:t xml:space="preserve">кандидатстване при ускорено разглеждане на предложенията им за извършване на инвестиции.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2. Не се приема.</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Изготвеното предложение за прехвърляне на средства между мерки и подмерки от ПРСР 2014-2020 г. цели устойчиво и ефективно изпълнение на Програмата в рамките на последните няколко години от нейното прилагане. Постигането на екологичните цели, заложени в ПРСР са от съществено значение. Предложението за прехвърляне на средства към подмярка 4.3 „Подкрепа за инвестиции в инфраструктура, свързана с развитието, модернизирането или адаптирането на селското и горското стопанство“ е вследствие на извършен предварителен анализ, свързан с превенция от загубата на средства, при спазване на изискванията на Програмата за развитие на селските райони (ПРСР 2014-2020 г.) и изпълнение на поставените индикатори. Анализът показва, че средствата от ПРСР 2014-2020 г., които се освобождават, могат да бъдат използвани единствено за мерки/подмерки, насочени към приоритетни области, които допринасят за опазване на околната среда. Пренасочването на средства към проекти за подобряване на напоителните системи и правилното им поддържане, водещо до намаляване на загубите на вода, освен прякото положително въздействие върху околната среда, ще доведе и до намаляване на разходите за вода и за нейната доставка до земеделските стопанства.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p w:rsidR="003D3883" w:rsidRPr="00385298" w:rsidRDefault="003D3883" w:rsidP="004B76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Инвестициите в инфраструктура за напояване са с изключително висока добавена стойност по отношение на конкурентоспособността на земеделския сектор, най-вече в полза на приоритетните сектори - зеленчуци и плодове. Стратегията на Световна банка за управление и развитие на хидромелиорациите и защита от вредното въздействие на водите</w:t>
            </w:r>
            <w:r w:rsidRPr="00385298">
              <w:rPr>
                <w:rFonts w:ascii="Times New Roman" w:eastAsia="Times New Roman" w:hAnsi="Times New Roman" w:cs="Times New Roman"/>
                <w:sz w:val="24"/>
                <w:szCs w:val="24"/>
                <w:lang w:val="bg-BG"/>
              </w:rPr>
              <w:t xml:space="preserve"> </w:t>
            </w:r>
            <w:r w:rsidRPr="00385298">
              <w:rPr>
                <w:rFonts w:ascii="Times New Roman" w:eastAsia="Times New Roman" w:hAnsi="Times New Roman" w:cs="Times New Roman"/>
                <w:sz w:val="24"/>
                <w:szCs w:val="24"/>
                <w:lang w:val="bg-BG" w:eastAsia="bg-BG"/>
              </w:rPr>
              <w:t xml:space="preserve">отрежда приоритетно </w:t>
            </w:r>
            <w:r w:rsidRPr="00385298">
              <w:rPr>
                <w:rFonts w:ascii="Times New Roman" w:eastAsia="Times New Roman" w:hAnsi="Times New Roman" w:cs="Times New Roman"/>
                <w:sz w:val="24"/>
                <w:szCs w:val="24"/>
                <w:lang w:val="bg-BG" w:eastAsia="bg-BG"/>
              </w:rPr>
              <w:lastRenderedPageBreak/>
              <w:t>значение на инвестициите в хидромелиоративна инфраструктура поради следните причини:</w:t>
            </w:r>
          </w:p>
          <w:p w:rsidR="003D3883" w:rsidRPr="00385298" w:rsidRDefault="003D3883" w:rsidP="004B76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Напояването е важен инструмент за насърчаване на конкурентоспособността на селското стопанство, тъй като подобрява производителността, като същевременно намалява загубата на приходи от земеделските стопани в години на неблагоприятни климатични условия. Ето защо напояването е важно за справяне с нестабилността на цените, тъй като до голяма степен защитава земеделските производители от значителен спад в производството и осигурява сравнително стабилно производство във времена на лоши метеорологични условия и нестабилни цени. Конкурентоспособността в селското стопанство е тясно свързана с нивото на производителността. А в България производителността на селското стопанство изостава от средното ниво за страните от ЕС-28. Наред с това, по отношение на поливни култури като царевица, плодове и зеленчуци, България отчита най-ниски добиви в сравнение с трите сходни страни в региона, Румъния, Турция и Унгария. </w:t>
            </w:r>
          </w:p>
          <w:p w:rsidR="003D3883" w:rsidRPr="00385298" w:rsidRDefault="003D3883" w:rsidP="004B76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Повишаването на добивите чрез напояване ще облагодетелства земеделските стопани, а промените в структурата на производството ще допринесат за общо нарастване на конкурентоспособността на българското селско стопанство на базата на по-висока добавена стойност и задоволяване на собствените нужди в производството на плодове и зеленчуци.</w:t>
            </w:r>
          </w:p>
          <w:p w:rsidR="003D3883" w:rsidRPr="00385298" w:rsidRDefault="003D3883" w:rsidP="004B76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p>
          <w:p w:rsidR="003D3883" w:rsidRPr="00385298" w:rsidRDefault="003D3883" w:rsidP="004B76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Анализът към ПРСР 2014-2020 също дава приоритет на инвестициите в хидромелиоративна инфраструктура, поради лошото й състояние и големия потенциал за осигуряване на защита на доходите за земеделските стопани при неблагоприятни климатични условия. </w:t>
            </w:r>
          </w:p>
          <w:p w:rsidR="003D3883" w:rsidRPr="00385298" w:rsidRDefault="003D3883" w:rsidP="004B767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Съществуващите хидромелиоративни системи и съоръжения са строени главно през 60-те и 70-те години на миналия век и са в </w:t>
            </w:r>
            <w:r w:rsidRPr="00385298">
              <w:rPr>
                <w:rFonts w:ascii="Times New Roman" w:eastAsia="Times New Roman" w:hAnsi="Times New Roman" w:cs="Times New Roman"/>
                <w:sz w:val="24"/>
                <w:szCs w:val="24"/>
                <w:lang w:val="bg-BG" w:eastAsia="bg-BG"/>
              </w:rPr>
              <w:lastRenderedPageBreak/>
              <w:t>критично физическо състояние и влошена функционалност, което води до значителни загуби на поливна вода в линейната инфраструктура и основните съоръжения. Формира се висока цена на поливната вода, което води от своя страна до отказване на земеделските производители от поливни услуги. Загубите на вода в хидромелиоративните системи, управлявани от „Напоителни системи”  ЕАД са между 70-80%. Вследствие на лошото състояние се стига до чести аварии, свързани със значителни капиталовложения за възстановяване. Неотложна е реконструкцията на част от съоръженията и поетапно възстановяване на останалите. Предприемането на превантивни действия значително ще намали риска от наводнение на земеделските земи, както и средствата необходими за възстановяване на щетите.</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Отварянето на извънреден прием за специализирано лабораторно оборудване, свързано с превенция и контрол на неблагоприятни климатични събития, природни бедствия и катастрофични събития, включително болести по животните и растенията 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е предвидено във връзка с одитните проучвания на DG SANTE и последващото проследяване на одитните препоръки, които обуславят необходимостта от инвестиции за увеличаване на лабораторния капацитет. Те показват някои повтарящи се слабости в контрола по агрохранителната верига, осъществяван от Националните референтни лаборатории. Идентифицираните недостатъци са свързани основно с липса на подходящо лабораторно оборудване, липса на достатъчно финансиране за лабораториите, </w:t>
            </w:r>
            <w:r w:rsidRPr="00385298">
              <w:rPr>
                <w:rFonts w:ascii="Times New Roman" w:eastAsia="Times New Roman" w:hAnsi="Times New Roman" w:cs="Times New Roman"/>
                <w:sz w:val="24"/>
                <w:szCs w:val="24"/>
                <w:lang w:val="bg-BG" w:eastAsia="bg-BG"/>
              </w:rPr>
              <w:lastRenderedPageBreak/>
              <w:t xml:space="preserve">незадоволителни диагностични стандарти и валидирани методи, както и невъзможност на частните лаборатории да осигурят надеждни резултати от тестовете. След извършен анализ е предвидено включването като допустими бенефициенти публични субекти Тракийски университет - Стара Загора, Аграрен университет - Пловдив и Университет за хранителни технологии - Пловдив. Трите университета са водещи в сферата на аграрната наука в България и имат дългогодишни научно-изследователски традиции и развит лабораторен капацитет. Съответните университети разполагат с опитен и квалифициран лабораторен персонал в тяхната водеща научноизследователска област на компетентност. Традициите и изградения научен капацитет са предпоставка за по-висока надеждност на резултатите в сравнение с частните лаборатории. Инвестициите в лабораторни оборудване и включване на университетите като допустим бенефициент са свързани основно с преодоляване на риска от финансови корекции и загуба на средства при предстоящи одитни мисии от DG SANTE. В допълнение, те ще допринесат за изграждане на  капацитет за справяне предстоящи санитарни кризи от разпространени на заразни болести по един устойчив начин за дългосрочен период от време.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Отварянето на извънреден прием за инвестиции за въвеждане на нови способи за реакция при провеждането на активни въздействия върху градовите процеси по 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ще гарантира защита на земеделската продукция на територията на почти цялата страна. Подпомагането ще бъде насочено към дейности, свързани с повишаване на оперативния капацитет на публични субекти за осигуряване на надеждна и ефективна защита от градушки и други </w:t>
            </w:r>
            <w:r w:rsidRPr="00385298">
              <w:rPr>
                <w:rFonts w:ascii="Times New Roman" w:eastAsia="Times New Roman" w:hAnsi="Times New Roman" w:cs="Times New Roman"/>
                <w:sz w:val="24"/>
                <w:szCs w:val="24"/>
                <w:lang w:val="bg-BG" w:eastAsia="bg-BG"/>
              </w:rPr>
              <w:lastRenderedPageBreak/>
              <w:t xml:space="preserve">неблагоприятни климатични явления, обхващаща земеделските площи на територията на цялата страна. Това от своя страна ще допринесе за ограничаване на щетите, нанесени на земеделската продукция от градовите процеси, както и предпазване на незащитените по ракетния способ земеделски площи. </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В процеса на консултации със служите на Европейската комисия, Управляващият орган извърши анализ на възможните алтернативи за осигуряване на противоградна защита. Проучването на възможностите за осигуряване на противоградна защита показва, че въздушният способ с използване на дронове е по-ефективен от другите алтернативи за осигуряване на защита от градушки, като той осигурява ефикасност и разумна основателност на разходите от ЕЗФРСР. В процеса на разработване на националното законодателство за предстоящите приеми по подмярката, които са включени в ИГРП за 2023 г, ще бъдат взети предвид всички изисквания на приложимото национално законодателство. Изпълнението на проекта за инвестиции за осигуряване на надеждна и ефективна защита от градушки предвижда партньорство с Държавно предприятие „Ръководство на въздушното движение“, отговарящо за управление на въздушното движение за постигане на безопасност, ефективност и редовност на полетите в обслужваното гражданско въздушно пространство.</w:t>
            </w:r>
          </w:p>
        </w:tc>
      </w:tr>
      <w:tr w:rsidR="003D3883" w:rsidRPr="00385298" w:rsidTr="004F1538">
        <w:tc>
          <w:tcPr>
            <w:tcW w:w="5000" w:type="pct"/>
            <w:gridSpan w:val="3"/>
            <w:vAlign w:val="center"/>
          </w:tcPr>
          <w:p w:rsidR="003D3883" w:rsidRPr="00385298" w:rsidRDefault="003D3883" w:rsidP="004B7675">
            <w:pPr>
              <w:spacing w:after="0" w:line="240" w:lineRule="auto"/>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 xml:space="preserve"> </w:t>
            </w:r>
          </w:p>
          <w:p w:rsidR="003D3883" w:rsidRPr="00385298" w:rsidRDefault="003D3883" w:rsidP="004B7675">
            <w:pPr>
              <w:spacing w:after="0" w:line="240" w:lineRule="auto"/>
              <w:jc w:val="center"/>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Становища, получени в удължения срок на писмената процедура</w:t>
            </w:r>
          </w:p>
          <w:p w:rsidR="003D3883" w:rsidRPr="00385298" w:rsidRDefault="003D3883" w:rsidP="004B7675">
            <w:pPr>
              <w:spacing w:after="0" w:line="240" w:lineRule="auto"/>
              <w:jc w:val="center"/>
              <w:rPr>
                <w:rFonts w:ascii="Times New Roman" w:eastAsia="Times New Roman" w:hAnsi="Times New Roman" w:cs="Times New Roman"/>
                <w:b/>
                <w:sz w:val="24"/>
                <w:szCs w:val="24"/>
                <w:lang w:val="bg-BG" w:eastAsia="bg-BG"/>
              </w:rPr>
            </w:pPr>
          </w:p>
        </w:tc>
      </w:tr>
      <w:tr w:rsidR="003D3883" w:rsidRPr="00385298" w:rsidTr="004F1538">
        <w:tc>
          <w:tcPr>
            <w:tcW w:w="664" w:type="pct"/>
            <w:vAlign w:val="center"/>
          </w:tcPr>
          <w:p w:rsidR="00EF1ED4" w:rsidRDefault="00EF1ED4" w:rsidP="004B7675">
            <w:pPr>
              <w:spacing w:after="0" w:line="240" w:lineRule="auto"/>
              <w:rPr>
                <w:rFonts w:ascii="Times New Roman" w:hAnsi="Times New Roman" w:cs="Times New Roman"/>
                <w:sz w:val="24"/>
                <w:szCs w:val="24"/>
              </w:rPr>
            </w:pPr>
          </w:p>
          <w:p w:rsidR="003D3883" w:rsidRPr="00634605" w:rsidRDefault="00EF1ED4" w:rsidP="004B7675">
            <w:pPr>
              <w:spacing w:after="0" w:line="240" w:lineRule="auto"/>
              <w:rPr>
                <w:rFonts w:ascii="Times New Roman" w:hAnsi="Times New Roman" w:cs="Times New Roman"/>
                <w:sz w:val="24"/>
                <w:szCs w:val="24"/>
                <w:lang w:val="bg-BG"/>
              </w:rPr>
            </w:pPr>
            <w:r>
              <w:rPr>
                <w:rFonts w:ascii="Times New Roman" w:hAnsi="Times New Roman" w:cs="Times New Roman"/>
                <w:sz w:val="24"/>
                <w:szCs w:val="24"/>
              </w:rPr>
              <w:t xml:space="preserve">Весела Данева – директор на дирекция „Държавни </w:t>
            </w:r>
            <w:r>
              <w:rPr>
                <w:rFonts w:ascii="Times New Roman" w:hAnsi="Times New Roman" w:cs="Times New Roman"/>
                <w:sz w:val="24"/>
                <w:szCs w:val="24"/>
              </w:rPr>
              <w:lastRenderedPageBreak/>
              <w:t>помощи и реален сектор“ в Министерство на финансите</w:t>
            </w:r>
          </w:p>
        </w:tc>
        <w:tc>
          <w:tcPr>
            <w:tcW w:w="2118" w:type="pct"/>
            <w:vAlign w:val="center"/>
          </w:tcPr>
          <w:p w:rsidR="003D3883" w:rsidRPr="00385298" w:rsidRDefault="003D3883" w:rsidP="004B7675">
            <w:pPr>
              <w:spacing w:after="120" w:line="240" w:lineRule="auto"/>
              <w:ind w:firstLine="708"/>
              <w:jc w:val="both"/>
              <w:rPr>
                <w:rFonts w:ascii="Times New Roman" w:eastAsia="Calibri" w:hAnsi="Times New Roman" w:cs="Times New Roman"/>
                <w:sz w:val="24"/>
                <w:szCs w:val="24"/>
                <w:lang w:val="bg-BG"/>
              </w:rPr>
            </w:pPr>
            <w:r w:rsidRPr="00385298">
              <w:rPr>
                <w:rFonts w:ascii="Times New Roman" w:eastAsia="Calibri" w:hAnsi="Times New Roman" w:cs="Times New Roman"/>
                <w:sz w:val="24"/>
                <w:szCs w:val="24"/>
                <w:lang w:val="bg-BG"/>
              </w:rPr>
              <w:lastRenderedPageBreak/>
              <w:t xml:space="preserve">Във връзка с получените материали относно предложение на Управляващия орган на ПРСР 2014-2020 г. за удължаване на срока на писмената процедура на Комитета за наблюдение на Програмата, състояла се в периода </w:t>
            </w:r>
            <w:r w:rsidRPr="00385298">
              <w:rPr>
                <w:rFonts w:ascii="Times New Roman" w:eastAsia="Calibri" w:hAnsi="Times New Roman" w:cs="Times New Roman"/>
                <w:bCs/>
                <w:sz w:val="24"/>
                <w:szCs w:val="24"/>
                <w:lang w:val="bg-BG"/>
              </w:rPr>
              <w:t>05-</w:t>
            </w:r>
            <w:r w:rsidRPr="00385298">
              <w:rPr>
                <w:rFonts w:ascii="Times New Roman" w:eastAsia="Calibri" w:hAnsi="Times New Roman" w:cs="Times New Roman"/>
                <w:bCs/>
                <w:sz w:val="24"/>
                <w:szCs w:val="24"/>
                <w:lang w:val="bg-BG"/>
              </w:rPr>
              <w:lastRenderedPageBreak/>
              <w:t>10.04.2023 г., Ви информирам, че п</w:t>
            </w:r>
            <w:r w:rsidRPr="00385298">
              <w:rPr>
                <w:rFonts w:ascii="Times New Roman" w:eastAsia="Calibri" w:hAnsi="Times New Roman" w:cs="Times New Roman"/>
                <w:sz w:val="24"/>
                <w:szCs w:val="24"/>
                <w:lang w:val="bg-BG"/>
              </w:rPr>
              <w:t xml:space="preserve">риемам предложеното решение. </w:t>
            </w:r>
          </w:p>
          <w:p w:rsidR="003D3883" w:rsidRPr="00385298" w:rsidRDefault="003D3883" w:rsidP="004B7675">
            <w:pPr>
              <w:spacing w:after="120" w:line="240" w:lineRule="auto"/>
              <w:ind w:firstLine="708"/>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Във връзка с предложението на УО за изменение на критериите за оценка на проектни предложения по подмярка 6.4.1 „</w:t>
            </w:r>
            <w:r w:rsidRPr="00385298">
              <w:rPr>
                <w:rFonts w:ascii="Times New Roman" w:eastAsia="Times New Roman" w:hAnsi="Times New Roman" w:cs="Times New Roman"/>
                <w:b/>
                <w:sz w:val="24"/>
                <w:szCs w:val="24"/>
                <w:lang w:val="bg-BG" w:eastAsia="bg-BG"/>
              </w:rPr>
              <w:t>Инвестиции в подкрепа на неземеделски дейности</w:t>
            </w:r>
            <w:r w:rsidRPr="00385298">
              <w:rPr>
                <w:rFonts w:ascii="Times New Roman" w:eastAsia="Times New Roman" w:hAnsi="Times New Roman" w:cs="Times New Roman"/>
                <w:sz w:val="24"/>
                <w:szCs w:val="24"/>
                <w:lang w:val="bg-BG" w:eastAsia="bg-BG"/>
              </w:rPr>
              <w:t>“, обръщам внимание, че публичното подпомагане на неземеделски дейности с икономически характер следва да се оценява за съответствие с общите правила за държавните помощи.</w:t>
            </w:r>
          </w:p>
          <w:p w:rsidR="003D3883" w:rsidRPr="00385298" w:rsidRDefault="003D3883" w:rsidP="004B7675">
            <w:pPr>
              <w:spacing w:after="120" w:line="240" w:lineRule="auto"/>
              <w:ind w:firstLine="708"/>
              <w:jc w:val="both"/>
              <w:rPr>
                <w:rFonts w:ascii="Times New Roman" w:eastAsia="Calibri" w:hAnsi="Times New Roman" w:cs="Times New Roman"/>
                <w:sz w:val="24"/>
                <w:szCs w:val="24"/>
                <w:lang w:val="bg-BG"/>
              </w:rPr>
            </w:pPr>
            <w:r w:rsidRPr="00385298">
              <w:rPr>
                <w:rFonts w:ascii="Times New Roman" w:eastAsia="Times New Roman" w:hAnsi="Times New Roman" w:cs="Times New Roman"/>
                <w:sz w:val="24"/>
                <w:szCs w:val="24"/>
                <w:lang w:val="bg-BG" w:eastAsia="bg-BG"/>
              </w:rPr>
              <w:t>По отношение на финансирането по подмярка 4.3 „</w:t>
            </w:r>
            <w:r w:rsidRPr="00385298">
              <w:rPr>
                <w:rFonts w:ascii="Times New Roman" w:eastAsia="Times New Roman" w:hAnsi="Times New Roman" w:cs="Times New Roman"/>
                <w:b/>
                <w:sz w:val="24"/>
                <w:szCs w:val="24"/>
                <w:lang w:val="bg-BG" w:eastAsia="bg-BG"/>
              </w:rPr>
              <w:t>Подкрепа за инвестиции в инфраструктура</w:t>
            </w:r>
            <w:r w:rsidRPr="00385298">
              <w:rPr>
                <w:rFonts w:ascii="Times New Roman" w:eastAsia="Times New Roman" w:hAnsi="Times New Roman" w:cs="Times New Roman"/>
                <w:sz w:val="24"/>
                <w:szCs w:val="24"/>
                <w:lang w:val="bg-BG" w:eastAsia="bg-BG"/>
              </w:rPr>
              <w:t xml:space="preserve">“ </w:t>
            </w:r>
            <w:r w:rsidRPr="00385298">
              <w:rPr>
                <w:rFonts w:ascii="Times New Roman" w:eastAsia="Calibri" w:hAnsi="Times New Roman" w:cs="Times New Roman"/>
                <w:sz w:val="24"/>
                <w:szCs w:val="24"/>
                <w:lang w:val="bg-BG"/>
              </w:rPr>
              <w:t>с допустим кандидат „Напоителни системи“ ЕАД, от справката за отразяване на становищата по проведената писмена процедура не става ясно дали направената при предходното съгласуване бележка относно необходимостта от оценка за приложимостта на правилата за държавните помощи към финансирането по подмярката е прието от УО.</w:t>
            </w:r>
          </w:p>
          <w:p w:rsidR="003D3883" w:rsidRPr="00385298" w:rsidRDefault="003D3883" w:rsidP="004B7675">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val="bg-BG"/>
              </w:rPr>
            </w:pPr>
          </w:p>
        </w:tc>
        <w:tc>
          <w:tcPr>
            <w:tcW w:w="2217" w:type="pct"/>
            <w:vAlign w:val="center"/>
          </w:tcPr>
          <w:p w:rsidR="00BC55D6" w:rsidRDefault="00BC55D6" w:rsidP="00BC55D6">
            <w:pPr>
              <w:spacing w:after="0" w:line="240" w:lineRule="auto"/>
              <w:jc w:val="both"/>
              <w:rPr>
                <w:rFonts w:ascii="Times New Roman" w:eastAsia="Times New Roman" w:hAnsi="Times New Roman" w:cs="Times New Roman"/>
                <w:sz w:val="24"/>
                <w:szCs w:val="24"/>
                <w:lang w:val="bg-BG" w:eastAsia="bg-BG"/>
              </w:rPr>
            </w:pPr>
          </w:p>
          <w:p w:rsidR="00BC55D6" w:rsidRPr="00EF1ED4" w:rsidRDefault="00634605" w:rsidP="00BC55D6">
            <w:pPr>
              <w:spacing w:after="0" w:line="240" w:lineRule="auto"/>
              <w:jc w:val="both"/>
              <w:rPr>
                <w:rFonts w:ascii="Times New Roman" w:eastAsia="Times New Roman" w:hAnsi="Times New Roman" w:cs="Times New Roman"/>
                <w:sz w:val="24"/>
                <w:szCs w:val="24"/>
                <w:lang w:val="bg-BG" w:eastAsia="bg-BG"/>
              </w:rPr>
            </w:pPr>
            <w:r w:rsidRPr="00EF1ED4">
              <w:rPr>
                <w:rFonts w:ascii="Times New Roman" w:eastAsia="Times New Roman" w:hAnsi="Times New Roman" w:cs="Times New Roman"/>
                <w:sz w:val="24"/>
                <w:szCs w:val="24"/>
                <w:lang w:val="bg-BG" w:eastAsia="bg-BG"/>
              </w:rPr>
              <w:t>Приема се.</w:t>
            </w:r>
            <w:r w:rsidR="009C2C4C" w:rsidRPr="00EF1ED4">
              <w:rPr>
                <w:rFonts w:ascii="Times New Roman" w:eastAsia="Times New Roman" w:hAnsi="Times New Roman" w:cs="Times New Roman"/>
                <w:sz w:val="24"/>
                <w:szCs w:val="24"/>
                <w:lang w:val="bg-BG" w:eastAsia="bg-BG"/>
              </w:rPr>
              <w:t xml:space="preserve"> В т.</w:t>
            </w:r>
            <w:r w:rsidRPr="00EF1ED4">
              <w:rPr>
                <w:rFonts w:ascii="Times New Roman" w:eastAsia="Times New Roman" w:hAnsi="Times New Roman" w:cs="Times New Roman"/>
                <w:sz w:val="24"/>
                <w:szCs w:val="24"/>
                <w:lang w:val="bg-BG" w:eastAsia="bg-BG"/>
              </w:rPr>
              <w:t xml:space="preserve"> </w:t>
            </w:r>
            <w:r w:rsidR="009C2C4C" w:rsidRPr="00EF1ED4">
              <w:rPr>
                <w:rFonts w:ascii="Times New Roman" w:eastAsia="Times New Roman" w:hAnsi="Times New Roman" w:cs="Times New Roman"/>
                <w:sz w:val="24"/>
                <w:szCs w:val="24"/>
                <w:lang w:val="bg-BG" w:eastAsia="bg-BG"/>
              </w:rPr>
              <w:t>8.2.5.3.3.11. „(Приложими) суми и проценти на предоставяната подкрепа“ в ПРСР 2014-2020 г. е отбелязано, че: „</w:t>
            </w:r>
            <w:r w:rsidR="009C2C4C" w:rsidRPr="00EF1ED4">
              <w:rPr>
                <w:rFonts w:ascii="Times New Roman" w:eastAsia="Times New Roman" w:hAnsi="Times New Roman" w:cs="Times New Roman"/>
                <w:i/>
                <w:sz w:val="24"/>
                <w:szCs w:val="24"/>
                <w:lang w:val="bg-BG" w:eastAsia="bg-BG"/>
              </w:rPr>
              <w:t xml:space="preserve">Финансовата помощ не може да надвишава 50% от общите допустими разходи и при спазване на правилата за „минимална </w:t>
            </w:r>
            <w:r w:rsidR="009C2C4C" w:rsidRPr="00EF1ED4">
              <w:rPr>
                <w:rFonts w:ascii="Times New Roman" w:eastAsia="Times New Roman" w:hAnsi="Times New Roman" w:cs="Times New Roman"/>
                <w:i/>
                <w:sz w:val="24"/>
                <w:szCs w:val="24"/>
                <w:lang w:val="bg-BG" w:eastAsia="bg-BG"/>
              </w:rPr>
              <w:lastRenderedPageBreak/>
              <w:t>помощ“ при спазване на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r w:rsidR="009C2C4C" w:rsidRPr="00EF1ED4">
              <w:rPr>
                <w:rFonts w:ascii="Times New Roman" w:eastAsia="Times New Roman" w:hAnsi="Times New Roman" w:cs="Times New Roman"/>
                <w:sz w:val="24"/>
                <w:szCs w:val="24"/>
                <w:lang w:val="bg-BG" w:eastAsia="bg-BG"/>
              </w:rPr>
              <w:t>.“.</w:t>
            </w:r>
            <w:r w:rsidR="00E14520" w:rsidRPr="00EF1ED4">
              <w:rPr>
                <w:rFonts w:ascii="Times New Roman" w:eastAsia="Times New Roman" w:hAnsi="Times New Roman" w:cs="Times New Roman"/>
                <w:sz w:val="24"/>
                <w:szCs w:val="24"/>
                <w:lang w:eastAsia="bg-BG"/>
              </w:rPr>
              <w:t xml:space="preserve"> </w:t>
            </w:r>
            <w:r w:rsidR="00E14520" w:rsidRPr="00EF1ED4">
              <w:rPr>
                <w:rFonts w:ascii="Times New Roman" w:eastAsia="Times New Roman" w:hAnsi="Times New Roman" w:cs="Times New Roman"/>
                <w:sz w:val="24"/>
                <w:szCs w:val="24"/>
                <w:lang w:val="bg-BG" w:eastAsia="bg-BG"/>
              </w:rPr>
              <w:t>След изтичане на периода на прилагане Регламент (ЕС) № 1407/2013 съответно ще бъде извършена актуализация.</w:t>
            </w:r>
          </w:p>
          <w:p w:rsidR="009C2C4C" w:rsidRPr="00AB33F5" w:rsidRDefault="009C2C4C" w:rsidP="00BC55D6">
            <w:pPr>
              <w:spacing w:after="0" w:line="240" w:lineRule="auto"/>
              <w:jc w:val="both"/>
              <w:rPr>
                <w:rFonts w:ascii="Times New Roman" w:eastAsia="Times New Roman" w:hAnsi="Times New Roman" w:cs="Times New Roman"/>
                <w:sz w:val="24"/>
                <w:szCs w:val="24"/>
                <w:lang w:val="bg-BG" w:eastAsia="bg-BG"/>
              </w:rPr>
            </w:pPr>
            <w:r w:rsidRPr="00AB33F5">
              <w:rPr>
                <w:rFonts w:ascii="Times New Roman" w:eastAsia="Times New Roman" w:hAnsi="Times New Roman" w:cs="Times New Roman"/>
                <w:sz w:val="24"/>
                <w:szCs w:val="24"/>
                <w:lang w:val="bg-BG" w:eastAsia="bg-BG"/>
              </w:rPr>
              <w:t>В съответствие с</w:t>
            </w:r>
            <w:r w:rsidR="00ED7A9A" w:rsidRPr="00AB33F5">
              <w:rPr>
                <w:rFonts w:ascii="Times New Roman" w:eastAsia="Times New Roman" w:hAnsi="Times New Roman" w:cs="Times New Roman"/>
                <w:sz w:val="24"/>
                <w:szCs w:val="24"/>
                <w:lang w:val="bg-BG" w:eastAsia="bg-BG"/>
              </w:rPr>
              <w:t xml:space="preserve"> чл. 26, ал. 3 от</w:t>
            </w:r>
            <w:r w:rsidRPr="00AB33F5">
              <w:rPr>
                <w:rFonts w:ascii="Times New Roman" w:eastAsia="Times New Roman" w:hAnsi="Times New Roman" w:cs="Times New Roman"/>
                <w:sz w:val="24"/>
                <w:szCs w:val="24"/>
                <w:lang w:val="bg-BG" w:eastAsia="bg-BG"/>
              </w:rPr>
              <w:t xml:space="preserve"> ЗУСЕФСУ преди обявяване на приема проекта на Насоките за кандидатстване ще бъдат съгласувани с Министерство на финансите. </w:t>
            </w:r>
          </w:p>
          <w:p w:rsidR="009C2C4C" w:rsidRPr="00634605" w:rsidRDefault="009C2C4C" w:rsidP="00BC55D6">
            <w:pPr>
              <w:spacing w:after="0" w:line="240" w:lineRule="auto"/>
              <w:jc w:val="both"/>
              <w:rPr>
                <w:rFonts w:ascii="Times New Roman" w:eastAsia="Times New Roman" w:hAnsi="Times New Roman" w:cs="Times New Roman"/>
                <w:color w:val="FF0000"/>
                <w:sz w:val="24"/>
                <w:szCs w:val="24"/>
                <w:lang w:val="bg-BG" w:eastAsia="bg-BG"/>
              </w:rPr>
            </w:pPr>
          </w:p>
          <w:p w:rsidR="00BC55D6" w:rsidRPr="00BC55D6" w:rsidRDefault="00BC55D6" w:rsidP="00BC55D6">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По отношение на подмярка 4.3 </w:t>
            </w:r>
            <w:r w:rsidRPr="00BC55D6">
              <w:rPr>
                <w:rFonts w:ascii="Times New Roman" w:eastAsia="Times New Roman" w:hAnsi="Times New Roman" w:cs="Times New Roman"/>
                <w:sz w:val="24"/>
                <w:szCs w:val="24"/>
                <w:lang w:val="bg-BG" w:eastAsia="bg-BG"/>
              </w:rPr>
              <w:t>„Подкрепа за инвестиции в инфраструктура“ с допустим кандидат „Напоителни системи“ ЕАД</w:t>
            </w:r>
            <w:r>
              <w:rPr>
                <w:rFonts w:ascii="Times New Roman" w:eastAsia="Times New Roman" w:hAnsi="Times New Roman" w:cs="Times New Roman"/>
                <w:sz w:val="24"/>
                <w:szCs w:val="24"/>
                <w:lang w:val="bg-BG" w:eastAsia="bg-BG"/>
              </w:rPr>
              <w:t xml:space="preserve"> следва да имате предвид, че</w:t>
            </w:r>
            <w:r w:rsidRPr="00BC55D6">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w:t>
            </w:r>
            <w:r w:rsidRPr="00BC55D6">
              <w:rPr>
                <w:rFonts w:ascii="Times New Roman" w:eastAsia="Times New Roman" w:hAnsi="Times New Roman" w:cs="Times New Roman"/>
                <w:sz w:val="24"/>
                <w:szCs w:val="24"/>
                <w:lang w:val="bg-BG" w:eastAsia="bg-BG"/>
              </w:rPr>
              <w:t>ъгласно чл. 81 от Регламент (ЕС) № 1305/2013 г., разпоредбите на чл. 107, 108 и 109 от Договора за функционирането на Европейския съюз (ДФЕС) не се прилагат по отношение на плащания, предоставени по ПРСР 2014-2020 в рамките на обхвата на чл. 42 от ДФЕС. По процедурата се подпомагат инвестиции, които са насочени единствено към напояване на земеделски земи за производство на селскостопански продукти по смисъла на чл. 42 от ДФЕС. Подпомагането по подмярката попада изцяло в обхвата на чл. 42 от ДФЕС. Този режим е съгласуван и с Европейската комисия.</w:t>
            </w:r>
          </w:p>
          <w:p w:rsidR="003D3883" w:rsidRPr="00385298" w:rsidRDefault="003D3883" w:rsidP="004B7675">
            <w:pPr>
              <w:spacing w:after="0" w:line="240" w:lineRule="auto"/>
              <w:jc w:val="both"/>
              <w:rPr>
                <w:rFonts w:ascii="Times New Roman" w:eastAsia="Times New Roman" w:hAnsi="Times New Roman" w:cs="Times New Roman"/>
                <w:sz w:val="24"/>
                <w:szCs w:val="24"/>
                <w:lang w:val="bg-BG" w:eastAsia="bg-BG"/>
              </w:rPr>
            </w:pPr>
          </w:p>
        </w:tc>
      </w:tr>
    </w:tbl>
    <w:p w:rsidR="00B517B9" w:rsidRPr="00385298" w:rsidRDefault="00B517B9" w:rsidP="00F75B51">
      <w:pPr>
        <w:spacing w:after="0" w:line="240" w:lineRule="auto"/>
        <w:jc w:val="both"/>
        <w:rPr>
          <w:rFonts w:ascii="Times New Roman" w:eastAsia="Times New Roman" w:hAnsi="Times New Roman" w:cs="Times New Roman"/>
          <w:sz w:val="24"/>
          <w:szCs w:val="24"/>
          <w:lang w:val="bg-BG" w:eastAsia="bg-BG"/>
        </w:rPr>
      </w:pPr>
    </w:p>
    <w:p w:rsidR="00B517B9" w:rsidRPr="00385298" w:rsidRDefault="00B517B9" w:rsidP="00F75B51">
      <w:pPr>
        <w:spacing w:after="0" w:line="240" w:lineRule="auto"/>
        <w:jc w:val="both"/>
        <w:rPr>
          <w:rFonts w:ascii="Times New Roman" w:eastAsia="Times New Roman" w:hAnsi="Times New Roman" w:cs="Times New Roman"/>
          <w:b/>
          <w:i/>
          <w:sz w:val="24"/>
          <w:szCs w:val="24"/>
          <w:u w:val="single"/>
          <w:lang w:val="bg-BG" w:eastAsia="bg-BG"/>
        </w:rPr>
      </w:pPr>
    </w:p>
    <w:p w:rsidR="00F43B91" w:rsidRPr="00385298" w:rsidRDefault="00F43B91" w:rsidP="00F72565">
      <w:pPr>
        <w:spacing w:after="0" w:line="240" w:lineRule="auto"/>
        <w:jc w:val="right"/>
        <w:rPr>
          <w:rFonts w:ascii="Times New Roman" w:eastAsia="Times New Roman" w:hAnsi="Times New Roman" w:cs="Times New Roman"/>
          <w:b/>
          <w:i/>
          <w:sz w:val="24"/>
          <w:szCs w:val="24"/>
          <w:u w:val="single"/>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b/>
          <w:i/>
          <w:sz w:val="24"/>
          <w:szCs w:val="24"/>
          <w:lang w:val="bg-BG" w:eastAsia="bg-BG"/>
        </w:rPr>
      </w:pPr>
    </w:p>
    <w:p w:rsidR="003D3883" w:rsidRPr="00385298" w:rsidRDefault="003D3883" w:rsidP="00F72565">
      <w:pPr>
        <w:spacing w:after="0" w:line="240" w:lineRule="auto"/>
        <w:jc w:val="both"/>
        <w:outlineLvl w:val="0"/>
        <w:rPr>
          <w:rFonts w:ascii="Times New Roman" w:eastAsia="Times New Roman" w:hAnsi="Times New Roman" w:cs="Times New Roman"/>
          <w:b/>
          <w:sz w:val="24"/>
          <w:szCs w:val="24"/>
          <w:lang w:val="bg-BG" w:eastAsia="bg-BG"/>
        </w:rPr>
      </w:pPr>
    </w:p>
    <w:p w:rsidR="003D3883" w:rsidRPr="00385298" w:rsidRDefault="003D3883" w:rsidP="00F72565">
      <w:pPr>
        <w:spacing w:after="0" w:line="240" w:lineRule="auto"/>
        <w:jc w:val="both"/>
        <w:outlineLvl w:val="0"/>
        <w:rPr>
          <w:rFonts w:ascii="Times New Roman" w:eastAsia="Times New Roman" w:hAnsi="Times New Roman" w:cs="Times New Roman"/>
          <w:b/>
          <w:sz w:val="24"/>
          <w:szCs w:val="24"/>
          <w:lang w:val="bg-BG" w:eastAsia="bg-BG"/>
        </w:rPr>
      </w:pPr>
    </w:p>
    <w:p w:rsidR="003D3883" w:rsidRPr="00385298" w:rsidRDefault="003D3883" w:rsidP="00F72565">
      <w:pPr>
        <w:spacing w:after="0" w:line="240" w:lineRule="auto"/>
        <w:jc w:val="both"/>
        <w:outlineLvl w:val="0"/>
        <w:rPr>
          <w:rFonts w:ascii="Times New Roman" w:eastAsia="Times New Roman" w:hAnsi="Times New Roman" w:cs="Times New Roman"/>
          <w:b/>
          <w:sz w:val="24"/>
          <w:szCs w:val="24"/>
          <w:u w:val="single"/>
          <w:lang w:val="bg-BG" w:eastAsia="bg-BG"/>
        </w:rPr>
      </w:pPr>
      <w:r w:rsidRPr="00385298">
        <w:rPr>
          <w:rFonts w:ascii="Times New Roman" w:eastAsia="Times New Roman" w:hAnsi="Times New Roman" w:cs="Times New Roman"/>
          <w:b/>
          <w:i/>
          <w:sz w:val="24"/>
          <w:szCs w:val="24"/>
          <w:u w:val="single"/>
          <w:lang w:val="bg-BG" w:eastAsia="bg-BG"/>
        </w:rPr>
        <w:t>Приложение 2</w:t>
      </w:r>
      <w:r w:rsidRPr="00385298">
        <w:rPr>
          <w:rFonts w:ascii="Times New Roman" w:eastAsia="Times New Roman" w:hAnsi="Times New Roman" w:cs="Times New Roman"/>
          <w:b/>
          <w:sz w:val="24"/>
          <w:szCs w:val="24"/>
          <w:u w:val="single"/>
          <w:lang w:val="bg-BG" w:eastAsia="bg-BG"/>
        </w:rPr>
        <w:t>.</w:t>
      </w:r>
    </w:p>
    <w:p w:rsidR="003D3883" w:rsidRPr="00385298" w:rsidRDefault="003D3883" w:rsidP="00F72565">
      <w:pPr>
        <w:spacing w:after="0" w:line="240" w:lineRule="auto"/>
        <w:jc w:val="both"/>
        <w:outlineLvl w:val="0"/>
        <w:rPr>
          <w:rFonts w:ascii="Times New Roman" w:eastAsia="Times New Roman" w:hAnsi="Times New Roman" w:cs="Times New Roman"/>
          <w:b/>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lastRenderedPageBreak/>
        <w:t>Подмярка 1.2 „Демонстрационни дейности и действие по осведомяване“ от мярка 1 „Трансфер на знания и действие по осведомяване“ от Програма за развитие на селските райони (ПРСР) 2014-2020 г.</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Структурата на Селскостопанска академия (ССА), (един от основните допустими бенефициенти по подмярка 1.2 „Демонстрационни дейности и действие по осведомяване“) се състои от 25 института, разположени на територията на населени места в цялата страна (</w:t>
      </w:r>
      <w:r w:rsidRPr="00385298">
        <w:rPr>
          <w:rFonts w:ascii="Times New Roman" w:eastAsia="Times New Roman" w:hAnsi="Times New Roman" w:cs="Times New Roman"/>
          <w:i/>
          <w:sz w:val="24"/>
          <w:szCs w:val="24"/>
          <w:lang w:val="bg-BG" w:eastAsia="bg-BG"/>
        </w:rPr>
        <w:t>София, Генерал Тошево, Стара Загора, Шумен, Костинброд, Пловдив, Карнобат, Кюстендил, Русе, Плевен, Чирпан, Троян, Садово, Варна, Кнежа, Казанлък, Марково</w:t>
      </w:r>
      <w:r w:rsidRPr="00385298">
        <w:rPr>
          <w:rFonts w:ascii="Times New Roman" w:eastAsia="Times New Roman" w:hAnsi="Times New Roman" w:cs="Times New Roman"/>
          <w:sz w:val="24"/>
          <w:szCs w:val="24"/>
          <w:lang w:val="bg-BG" w:eastAsia="bg-BG"/>
        </w:rPr>
        <w:t>), 4 научни центъра (</w:t>
      </w:r>
      <w:r w:rsidRPr="00385298">
        <w:rPr>
          <w:rFonts w:ascii="Times New Roman" w:eastAsia="Times New Roman" w:hAnsi="Times New Roman" w:cs="Times New Roman"/>
          <w:i/>
          <w:sz w:val="24"/>
          <w:szCs w:val="24"/>
          <w:lang w:val="bg-BG" w:eastAsia="bg-BG"/>
        </w:rPr>
        <w:t>Враца, Търговище, Средец, Смолян</w:t>
      </w:r>
      <w:r w:rsidRPr="00385298">
        <w:rPr>
          <w:rFonts w:ascii="Times New Roman" w:eastAsia="Times New Roman" w:hAnsi="Times New Roman" w:cs="Times New Roman"/>
          <w:sz w:val="24"/>
          <w:szCs w:val="24"/>
          <w:lang w:val="bg-BG" w:eastAsia="bg-BG"/>
        </w:rPr>
        <w:t>) и Научно-производствен център, състоящ се от 13 опитни станции (</w:t>
      </w:r>
      <w:r w:rsidRPr="00385298">
        <w:rPr>
          <w:rFonts w:ascii="Times New Roman" w:eastAsia="Times New Roman" w:hAnsi="Times New Roman" w:cs="Times New Roman"/>
          <w:i/>
          <w:sz w:val="24"/>
          <w:szCs w:val="24"/>
          <w:lang w:val="bg-BG" w:eastAsia="bg-BG"/>
        </w:rPr>
        <w:t>Видин, Лом, Павликени, Силистра, Лозница, Хан Крум, Варна, Поморие, Сливен, Хасково, Кърджали, Пазарджик, Самоков</w:t>
      </w:r>
      <w:r w:rsidRPr="00385298">
        <w:rPr>
          <w:rFonts w:ascii="Times New Roman" w:eastAsia="Times New Roman" w:hAnsi="Times New Roman" w:cs="Times New Roman"/>
          <w:sz w:val="24"/>
          <w:szCs w:val="24"/>
          <w:lang w:val="bg-BG" w:eastAsia="bg-BG"/>
        </w:rPr>
        <w:t>). Тези научни звена са изключително активни през последните години, тъй като земеделските стопани, осъзнавайки ползите от сътрудничеството с науката, все по-често търсят съдействие и предприемат сътрудничество с учените. Връзката между науката и практиката в селското стопанство в България обаче все още не е възстановена в достатъчна степен, като това е една от основните цели на Системата за знания и иновации в селското стопанство (AKIS).</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Една от основните пречки за това е, че материалната база, на разположение в съответните звена в повечето случаи е изключително остаряла и в окаяно състояние особено що се касае до земеделската техника, използвана в рамките на опитните полета, която се използва за тестове и демонстрации. </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Това от своя страна възпрепятства възможността за провеждане на демонстрационни дейности на заинтересованите лица, които дейности да се извършат със съвременни способи и методи, доближаващи се до познатите на земеделските стопани методи от практиката. По този начин макар и да притежават необходимите теоретични познания, които могат да бъдат от изключителна полза за земеделските стопани, учените не са в състояние да представят тази информация по атрактивен начин в реални практически условия на фермерите. </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Във връзка с материална база с която разполагат научните звена за провеждане на тестове и демонстрационни дейности следва да се отбележи, че цените на земеделската техника във връзка с настоящата пазарна ситуация непрекъснато се покачват, което налага по-често актуализиране на референтната база данни с разходи, за които има определени референтни цени. </w:t>
      </w:r>
    </w:p>
    <w:p w:rsidR="00F13C6C" w:rsidRPr="00385298" w:rsidRDefault="00F13C6C" w:rsidP="00F72565">
      <w:pPr>
        <w:spacing w:after="0" w:line="240" w:lineRule="auto"/>
        <w:jc w:val="both"/>
        <w:outlineLvl w:val="0"/>
        <w:rPr>
          <w:rFonts w:ascii="Times New Roman" w:eastAsia="Times New Roman" w:hAnsi="Times New Roman" w:cs="Times New Roman"/>
          <w:i/>
          <w:sz w:val="24"/>
          <w:szCs w:val="24"/>
          <w:lang w:val="bg-BG" w:eastAsia="bg-BG"/>
        </w:rPr>
      </w:pPr>
      <w:r w:rsidRPr="00385298">
        <w:rPr>
          <w:rFonts w:ascii="Times New Roman" w:eastAsia="Times New Roman" w:hAnsi="Times New Roman" w:cs="Times New Roman"/>
          <w:sz w:val="24"/>
          <w:szCs w:val="24"/>
          <w:lang w:val="bg-BG" w:eastAsia="bg-BG"/>
        </w:rPr>
        <w:t>В текста на подмярка 1.2. „Демонстрационни дейности и действия по осведомяване“ от мярка 1 „Трансфер на знания и действие по осведомяване“ на Програма за развитие на селските райони (ПРСР) 2014-2020 г. е записано, че: „</w:t>
      </w:r>
      <w:r w:rsidRPr="00385298">
        <w:rPr>
          <w:rFonts w:ascii="Times New Roman" w:eastAsia="Times New Roman" w:hAnsi="Times New Roman" w:cs="Times New Roman"/>
          <w:i/>
          <w:sz w:val="24"/>
          <w:szCs w:val="24"/>
          <w:lang w:val="bg-BG" w:eastAsia="bg-BG"/>
        </w:rPr>
        <w:t>Максималният размер на помощта за инвестиции за един бенефициент за периода на прилагане на програмата е 100 000 евро</w:t>
      </w:r>
      <w:r w:rsidRPr="00385298">
        <w:rPr>
          <w:rFonts w:ascii="Times New Roman" w:eastAsia="Times New Roman" w:hAnsi="Times New Roman" w:cs="Times New Roman"/>
          <w:sz w:val="24"/>
          <w:szCs w:val="24"/>
          <w:lang w:val="bg-BG" w:eastAsia="bg-BG"/>
        </w:rPr>
        <w:t>“. Тази възможност в подмярката е предвидена въз основа на идентифицираните потребности в SWOT анализа на ПРСР 2014-2020 г. във връзка с разпоредбата на чл. 14 (4) от Регламент (ЕС) № 1305/2013 г. съгласно която: „</w:t>
      </w:r>
      <w:r w:rsidRPr="00385298">
        <w:rPr>
          <w:rFonts w:ascii="Times New Roman" w:eastAsia="Times New Roman" w:hAnsi="Times New Roman" w:cs="Times New Roman"/>
          <w:i/>
          <w:sz w:val="24"/>
          <w:szCs w:val="24"/>
          <w:lang w:val="bg-BG" w:eastAsia="bg-BG"/>
        </w:rPr>
        <w:t xml:space="preserve">В случай на демонстрационни проекти подпомагането може да включва и съответните разходи за инвестиции“. </w:t>
      </w:r>
    </w:p>
    <w:p w:rsidR="00F13C6C" w:rsidRPr="00385298" w:rsidRDefault="00F13C6C" w:rsidP="00F72565">
      <w:pPr>
        <w:spacing w:after="0" w:line="240" w:lineRule="auto"/>
        <w:jc w:val="both"/>
        <w:outlineLvl w:val="0"/>
        <w:rPr>
          <w:rFonts w:ascii="Times New Roman" w:eastAsia="Times New Roman" w:hAnsi="Times New Roman" w:cs="Times New Roman"/>
          <w:i/>
          <w:sz w:val="24"/>
          <w:szCs w:val="24"/>
          <w:lang w:val="bg-BG" w:eastAsia="bg-BG"/>
        </w:rPr>
      </w:pPr>
      <w:r w:rsidRPr="00385298">
        <w:rPr>
          <w:rFonts w:ascii="Times New Roman" w:eastAsia="Times New Roman" w:hAnsi="Times New Roman" w:cs="Times New Roman"/>
          <w:sz w:val="24"/>
          <w:szCs w:val="24"/>
          <w:lang w:val="bg-BG" w:eastAsia="bg-BG"/>
        </w:rPr>
        <w:t xml:space="preserve">От друга страна в чл. 21 (8) от Регламент </w:t>
      </w:r>
      <w:r w:rsidRPr="00385298">
        <w:rPr>
          <w:rFonts w:ascii="Times New Roman" w:eastAsia="Times New Roman" w:hAnsi="Times New Roman" w:cs="Times New Roman"/>
          <w:bCs/>
          <w:sz w:val="24"/>
          <w:szCs w:val="24"/>
          <w:lang w:val="bg-BG" w:eastAsia="bg-BG"/>
        </w:rPr>
        <w:t>№ 702/2014 е предвидено ограничение за инвестиции до 100 000 евро, като част от демонстрационен проект,</w:t>
      </w:r>
      <w:r w:rsidRPr="00385298">
        <w:rPr>
          <w:rFonts w:ascii="Times New Roman" w:eastAsia="Times New Roman" w:hAnsi="Times New Roman" w:cs="Times New Roman"/>
          <w:bCs/>
          <w:i/>
          <w:sz w:val="24"/>
          <w:szCs w:val="24"/>
          <w:lang w:val="bg-BG" w:eastAsia="bg-BG"/>
        </w:rPr>
        <w:t xml:space="preserve"> което ограничение се отнася до демонстрационни проекти за горски стопани и заетите лица в техните стопанства.</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Една от причините за по-ниския от първоначално очаквания интерес по подмярка 1.2 „Демонстрационни дейности и действия по осведомяване“ в рамките на проведения прием през 2022 г. е именно максималния размер на допустимите разходи за инвестиции, който се оказва крайно недостатъчен за закупуване на материални активи, съответстващи на нуждите в опитните полета и лаборатории, използвани от научните звена, за да се вземе решение за изготвяне на проектно предложение за кандидатстване в рамките на процедурата. Това се потвърждава и от изпратено писмо с № 13-94 от 27.03.2023 г. от председателя на ССА, в което се предлага увеличение на допустимия размер за инвестиции, като част от едно проектно предложение, свързано с провеждане на демонстрации.</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В тази връзка, Управляващият орган на ПРСР 2014-2020 г. предлага допустимия размер на разходите за инвестиции по подмярката да се увеличи по отношение на демонстрационните дейности, насочени към земеделски стопани и заетите лица в техните стопанства предвид липсата за друга възможност за финансиране на активи, обслужващи тези полета и лаборатории, в рамките на които могат да се провеждат дейности за трансфер на знания и умения към земеделските стопани до левовата равностойност на 350 000 евро.</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Във връзка с предложението за увеличение на размера на допустимите разходи за инвестиции при стартиране на процедурата за прием на проектни предложения ще бъдат съобразени и предвидените условия за допустимост в подмярката, съгласно които: „</w:t>
      </w:r>
      <w:r w:rsidRPr="00385298">
        <w:rPr>
          <w:rFonts w:ascii="Times New Roman" w:eastAsia="Times New Roman" w:hAnsi="Times New Roman" w:cs="Times New Roman"/>
          <w:i/>
          <w:sz w:val="24"/>
          <w:szCs w:val="24"/>
          <w:lang w:val="bg-BG" w:eastAsia="bg-BG"/>
        </w:rPr>
        <w:t>В проекта се предвиждат оптимален брой теми за демонстрационни дейности с цел по-пълно използване на новите машини или оборудване за обучение на достатъчен брой земеделски или горски стопани. В националното законодателство за прилагане на подмярката се предвижда оптимално съотношение на броя на включените в проекта обучаеми към размера на разходите за инвестиции</w:t>
      </w:r>
      <w:r w:rsidRPr="00385298">
        <w:rPr>
          <w:rFonts w:ascii="Times New Roman" w:eastAsia="Times New Roman" w:hAnsi="Times New Roman" w:cs="Times New Roman"/>
          <w:sz w:val="24"/>
          <w:szCs w:val="24"/>
          <w:lang w:val="bg-BG" w:eastAsia="bg-BG"/>
        </w:rPr>
        <w:t>“.</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Също така, за да се спомогне процеса на набиране за участници в демонстрационните дейности е необходимо да бъде предвидена възможност по подмярката да се осъществяват сътрудничества под формата на партньорство между бенефициентите и ЮЛНЦ в сферата на селското стопанство. </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По този начин членовете на тези организации ще могат да участват активно и организирано в демонстрации, по теми, които са от полза за повишаване на знанията и уменията им за подобряване на резултатите от производствената дейност в техните стопанства, в т.ч. на заетите лица в техните стопанства.</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Управляващият орган счита, че предлаганите промени в текста на подмярката ще допринесат за по-успешното адресиране на идентифицираната потребност в рамките на Фокус област 1б от ПРСР 2014-2020 г. за подобряване на капацитета на участниците в организацията за трансфер на знания и иновации.</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sectPr w:rsidR="00F13C6C" w:rsidRPr="00385298" w:rsidSect="004F1538">
          <w:pgSz w:w="16838" w:h="11906" w:orient="landscape"/>
          <w:pgMar w:top="1417" w:right="1418" w:bottom="1417" w:left="993" w:header="708" w:footer="708" w:gutter="0"/>
          <w:cols w:space="708"/>
          <w:docGrid w:linePitch="360"/>
        </w:sectPr>
      </w:pP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tbl>
      <w:tblPr>
        <w:tblW w:w="4748" w:type="pct"/>
        <w:tblInd w:w="-5" w:type="dxa"/>
        <w:tblLook w:val="04A0" w:firstRow="1" w:lastRow="0" w:firstColumn="1" w:lastColumn="0" w:noHBand="0" w:noVBand="1"/>
      </w:tblPr>
      <w:tblGrid>
        <w:gridCol w:w="7077"/>
        <w:gridCol w:w="6347"/>
      </w:tblGrid>
      <w:tr w:rsidR="00F13C6C" w:rsidRPr="00385298" w:rsidTr="00DD44C7">
        <w:trPr>
          <w:trHeight w:val="420"/>
        </w:trPr>
        <w:tc>
          <w:tcPr>
            <w:tcW w:w="2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Настоящ текст в ПРСР 2014-2020 г. (15-то изменение)</w:t>
            </w:r>
          </w:p>
        </w:tc>
        <w:tc>
          <w:tcPr>
            <w:tcW w:w="2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Предложение за нов текст в ПРСР 2014-2020 г.</w:t>
            </w:r>
          </w:p>
        </w:tc>
      </w:tr>
      <w:tr w:rsidR="00F13C6C" w:rsidRPr="00385298" w:rsidTr="00DD44C7">
        <w:tc>
          <w:tcPr>
            <w:tcW w:w="2636" w:type="pct"/>
            <w:tcBorders>
              <w:top w:val="single" w:sz="4" w:space="0" w:color="auto"/>
              <w:left w:val="single" w:sz="4" w:space="0" w:color="auto"/>
              <w:bottom w:val="single" w:sz="4" w:space="0" w:color="auto"/>
              <w:right w:val="single" w:sz="4" w:space="0" w:color="auto"/>
            </w:tcBorders>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Раздел 8.2.1.3.2.4 Бенефициери</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 </w:t>
            </w:r>
          </w:p>
        </w:tc>
        <w:tc>
          <w:tcPr>
            <w:tcW w:w="2364" w:type="pct"/>
            <w:tcBorders>
              <w:top w:val="single" w:sz="4" w:space="0" w:color="auto"/>
              <w:left w:val="single" w:sz="4" w:space="0" w:color="auto"/>
              <w:bottom w:val="single" w:sz="4" w:space="0" w:color="auto"/>
              <w:right w:val="single" w:sz="4" w:space="0" w:color="auto"/>
            </w:tcBorders>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Раздел 8.2.1.3.2.4 Бенефициери</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 </w:t>
            </w:r>
          </w:p>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sz w:val="24"/>
                <w:szCs w:val="24"/>
                <w:lang w:val="bg-BG" w:eastAsia="bg-BG"/>
              </w:rPr>
              <w:t>По подмярката е допустимо и участието на партньори, вкл. юридически лица с нестопанска цел в сферата на селското стопанство. Партньорите по проекта са заинтересовани от неговото изпълнение, които не разходват безвъзмездна финансова помощ.</w:t>
            </w:r>
          </w:p>
        </w:tc>
      </w:tr>
    </w:tbl>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tbl>
      <w:tblPr>
        <w:tblW w:w="4748" w:type="pct"/>
        <w:tblInd w:w="-5" w:type="dxa"/>
        <w:tblLook w:val="04A0" w:firstRow="1" w:lastRow="0" w:firstColumn="1" w:lastColumn="0" w:noHBand="0" w:noVBand="1"/>
      </w:tblPr>
      <w:tblGrid>
        <w:gridCol w:w="7077"/>
        <w:gridCol w:w="6347"/>
      </w:tblGrid>
      <w:tr w:rsidR="00F13C6C" w:rsidRPr="00385298" w:rsidTr="00DD44C7">
        <w:trPr>
          <w:trHeight w:val="420"/>
        </w:trPr>
        <w:tc>
          <w:tcPr>
            <w:tcW w:w="2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Настоящ текст в ПРСР 2014-2020 г. (15-то изменение)</w:t>
            </w:r>
          </w:p>
        </w:tc>
        <w:tc>
          <w:tcPr>
            <w:tcW w:w="2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Предложение за нов текст в ПРСР 2014-2020 г.</w:t>
            </w:r>
          </w:p>
        </w:tc>
      </w:tr>
      <w:tr w:rsidR="00F13C6C" w:rsidRPr="00385298" w:rsidTr="00DD44C7">
        <w:tc>
          <w:tcPr>
            <w:tcW w:w="2636" w:type="pct"/>
            <w:tcBorders>
              <w:top w:val="single" w:sz="4" w:space="0" w:color="auto"/>
              <w:left w:val="single" w:sz="4" w:space="0" w:color="auto"/>
              <w:bottom w:val="single" w:sz="4" w:space="0" w:color="auto"/>
              <w:right w:val="single" w:sz="4" w:space="0" w:color="auto"/>
            </w:tcBorders>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Раздел 8.2.1.3.2.8 (Приложими) суми и проценти на предоставяната подкрепа</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Максималният интензитет на помощта е 100%. Максималният размер на помощта за инвестиции за един бенефициент за периода на прилагане на програмата е 100 000 евро.</w:t>
            </w:r>
          </w:p>
        </w:tc>
        <w:tc>
          <w:tcPr>
            <w:tcW w:w="2364" w:type="pct"/>
            <w:tcBorders>
              <w:top w:val="single" w:sz="4" w:space="0" w:color="auto"/>
              <w:left w:val="single" w:sz="4" w:space="0" w:color="auto"/>
              <w:bottom w:val="single" w:sz="4" w:space="0" w:color="auto"/>
              <w:right w:val="single" w:sz="4" w:space="0" w:color="auto"/>
            </w:tcBorders>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Раздел 8.2.1.3.2.8 (Приложими) суми и проценти на предоставяната подкрепа</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Максималният интензитет на помощта е 100%. Максималният размер на помощта за инвестиции за един бенефициент за периода на прилагане на програмата е 350 000 евро за демонстрации, насочени към земеделски стопани и 100 000 евро за демонстрации, насочени към горски стопани.</w:t>
            </w:r>
          </w:p>
        </w:tc>
      </w:tr>
    </w:tbl>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p>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p>
    <w:tbl>
      <w:tblPr>
        <w:tblW w:w="4748" w:type="pct"/>
        <w:tblInd w:w="-5" w:type="dxa"/>
        <w:tblLook w:val="04A0" w:firstRow="1" w:lastRow="0" w:firstColumn="1" w:lastColumn="0" w:noHBand="0" w:noVBand="1"/>
      </w:tblPr>
      <w:tblGrid>
        <w:gridCol w:w="7077"/>
        <w:gridCol w:w="6347"/>
      </w:tblGrid>
      <w:tr w:rsidR="00F13C6C" w:rsidRPr="00385298" w:rsidTr="00DD44C7">
        <w:trPr>
          <w:trHeight w:val="420"/>
        </w:trPr>
        <w:tc>
          <w:tcPr>
            <w:tcW w:w="2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Настоящ текст в ПРСР 2014-2020 г. (15-то изменение)</w:t>
            </w:r>
          </w:p>
        </w:tc>
        <w:tc>
          <w:tcPr>
            <w:tcW w:w="2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Предложение за нов текст в ПРСР 2014-2020 г.</w:t>
            </w:r>
          </w:p>
        </w:tc>
      </w:tr>
      <w:tr w:rsidR="00F13C6C" w:rsidRPr="00385298" w:rsidTr="00DD44C7">
        <w:tc>
          <w:tcPr>
            <w:tcW w:w="2636" w:type="pct"/>
            <w:tcBorders>
              <w:top w:val="single" w:sz="4" w:space="0" w:color="auto"/>
              <w:left w:val="single" w:sz="4" w:space="0" w:color="auto"/>
              <w:bottom w:val="single" w:sz="4" w:space="0" w:color="auto"/>
              <w:right w:val="single" w:sz="4" w:space="0" w:color="auto"/>
            </w:tcBorders>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Раздел 8.2.1.3.2.1 Описание на вида операция</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 xml:space="preserve">Демонстрационните дейности трябва да са осъществени в демонстрационен обект, който може да бъде опитно поле или учебно-опитно поле, или лаборатория на научен институт, висше училище или професионална гимназия. Демонстрационните дейности са с продължителност до 3 дни. На един демонстрационен обект може да се организират и провеждат различен вид и брой демонстрационни дейности. За всяка дейност се посочват кратка учебна програма (с тема, цели, съдържание, методи на демонстриране) и описание на демонстрационния обект (с конкретно посочване на обектите или практиките, които ще се демонстрират).  Избраните демонстрационни обекти не трябва да бъдат включвани в проекти за подкрепа по ОП „Наука и образование за интелигентен растеж“. </w:t>
            </w:r>
          </w:p>
        </w:tc>
        <w:tc>
          <w:tcPr>
            <w:tcW w:w="2364" w:type="pct"/>
            <w:tcBorders>
              <w:top w:val="single" w:sz="4" w:space="0" w:color="auto"/>
              <w:left w:val="single" w:sz="4" w:space="0" w:color="auto"/>
              <w:bottom w:val="single" w:sz="4" w:space="0" w:color="auto"/>
              <w:right w:val="single" w:sz="4" w:space="0" w:color="auto"/>
            </w:tcBorders>
          </w:tcPr>
          <w:p w:rsidR="00F13C6C" w:rsidRPr="00385298" w:rsidRDefault="00F13C6C" w:rsidP="00F72565">
            <w:pPr>
              <w:spacing w:after="0" w:line="240" w:lineRule="auto"/>
              <w:jc w:val="both"/>
              <w:outlineLvl w:val="0"/>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lastRenderedPageBreak/>
              <w:t>Раздел 8.2.1.3.2.1 Описание на вида операция</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 xml:space="preserve">Демонстрационните дейности трябва да са осъществени в демонстрационен обект, който може да бъде опитно поле или учебно-опитно поле, или лаборатория на научен институт, висше училище или професионална гимназия. Демонстрационните дейности са с продължителност до 3 дни. На един демонстрационен обект може да се организират и провеждат различен вид и брой демонстрационни дейности. За всяка дейност се посочват кратка учебна програма (с тема, цели, съдържание, методи на демонстриране) и описание на демонстрационния обект (с конкретно посочване на обектите или практиките, които ще се демонстрират).  Избраните демонстрационни обекти не трябва да бъдат включвани в проекти за подкрепа по ОП „Наука и образование за интелигентен растеж“. </w:t>
            </w:r>
          </w:p>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В обосновани случаи, демонстрационните дейности могат да се извършват и на места, различни от демонстрационни обекти, при условие, че се гарантира, че демонстрацията ще се предоставя в реални практически условия на целевите групи – крайни получатели, а именно земеделски и горски стопани и заетите лица в техните стопанства.</w:t>
            </w:r>
          </w:p>
        </w:tc>
      </w:tr>
    </w:tbl>
    <w:p w:rsidR="00F13C6C" w:rsidRPr="00385298" w:rsidRDefault="00F13C6C" w:rsidP="00F72565">
      <w:pPr>
        <w:spacing w:after="0" w:line="240" w:lineRule="auto"/>
        <w:jc w:val="both"/>
        <w:outlineLvl w:val="0"/>
        <w:rPr>
          <w:rFonts w:ascii="Times New Roman" w:eastAsia="Times New Roman" w:hAnsi="Times New Roman" w:cs="Times New Roman"/>
          <w:sz w:val="24"/>
          <w:szCs w:val="24"/>
          <w:lang w:val="bg-BG" w:eastAsia="bg-BG"/>
        </w:rPr>
      </w:pPr>
    </w:p>
    <w:p w:rsidR="00715566" w:rsidRPr="00385298" w:rsidRDefault="00715566" w:rsidP="00F72565">
      <w:pPr>
        <w:spacing w:after="0" w:line="240" w:lineRule="auto"/>
        <w:jc w:val="both"/>
        <w:outlineLvl w:val="0"/>
        <w:rPr>
          <w:rFonts w:ascii="Times New Roman" w:eastAsia="Times New Roman" w:hAnsi="Times New Roman" w:cs="Times New Roman"/>
          <w:b/>
          <w:i/>
          <w:sz w:val="24"/>
          <w:szCs w:val="24"/>
          <w:u w:val="single"/>
          <w:lang w:val="bg-BG" w:eastAsia="bg-BG"/>
        </w:rPr>
      </w:pPr>
    </w:p>
    <w:p w:rsidR="00F13C6C" w:rsidRPr="00385298" w:rsidRDefault="006C264F" w:rsidP="00F72565">
      <w:pPr>
        <w:spacing w:after="0" w:line="240" w:lineRule="auto"/>
        <w:jc w:val="both"/>
        <w:outlineLvl w:val="0"/>
        <w:rPr>
          <w:rFonts w:ascii="Times New Roman" w:eastAsia="Times New Roman" w:hAnsi="Times New Roman" w:cs="Times New Roman"/>
          <w:b/>
          <w:i/>
          <w:sz w:val="24"/>
          <w:szCs w:val="24"/>
          <w:u w:val="single"/>
          <w:lang w:val="bg-BG" w:eastAsia="bg-BG"/>
        </w:rPr>
      </w:pPr>
      <w:r w:rsidRPr="00385298">
        <w:rPr>
          <w:rFonts w:ascii="Times New Roman" w:eastAsia="Times New Roman" w:hAnsi="Times New Roman" w:cs="Times New Roman"/>
          <w:b/>
          <w:i/>
          <w:sz w:val="24"/>
          <w:szCs w:val="24"/>
          <w:u w:val="single"/>
          <w:lang w:val="bg-BG" w:eastAsia="bg-BG"/>
        </w:rPr>
        <w:t xml:space="preserve"> Приложение 3</w:t>
      </w:r>
      <w:r w:rsidR="003D3883" w:rsidRPr="00385298">
        <w:rPr>
          <w:rFonts w:ascii="Times New Roman" w:eastAsia="Times New Roman" w:hAnsi="Times New Roman" w:cs="Times New Roman"/>
          <w:b/>
          <w:i/>
          <w:sz w:val="24"/>
          <w:szCs w:val="24"/>
          <w:u w:val="single"/>
          <w:lang w:val="bg-BG" w:eastAsia="bg-BG"/>
        </w:rPr>
        <w:t>.</w:t>
      </w:r>
    </w:p>
    <w:p w:rsidR="008639F4" w:rsidRPr="00385298" w:rsidRDefault="008639F4" w:rsidP="00F72565">
      <w:pPr>
        <w:spacing w:after="0" w:line="240" w:lineRule="auto"/>
        <w:jc w:val="both"/>
        <w:outlineLvl w:val="0"/>
        <w:rPr>
          <w:rFonts w:ascii="Times New Roman" w:eastAsia="Times New Roman" w:hAnsi="Times New Roman" w:cs="Times New Roman"/>
          <w:sz w:val="24"/>
          <w:szCs w:val="24"/>
          <w:lang w:val="bg-BG" w:eastAsia="bg-BG"/>
        </w:rPr>
      </w:pPr>
    </w:p>
    <w:p w:rsidR="002A2A8C" w:rsidRPr="00385298" w:rsidRDefault="002A2A8C" w:rsidP="00DD44C7">
      <w:pPr>
        <w:spacing w:after="160" w:line="240" w:lineRule="auto"/>
        <w:ind w:right="567"/>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Подмярка 4.3 „Подкрепа за инвестиции в инфраструктура - развитие, модернизация или адаптиране на земеделската и горска инфраструктура“ от мярка 4 „Инвестиции в материални активи“ от Програма за развитие на селските райони (ПРСР) 2014-2020 г.</w:t>
      </w:r>
    </w:p>
    <w:p w:rsidR="002A2A8C" w:rsidRPr="00385298" w:rsidRDefault="002A2A8C" w:rsidP="00F72565">
      <w:pPr>
        <w:spacing w:line="240" w:lineRule="auto"/>
        <w:jc w:val="both"/>
        <w:rPr>
          <w:rFonts w:ascii="Times New Roman" w:hAnsi="Times New Roman" w:cs="Times New Roman"/>
          <w:sz w:val="24"/>
          <w:szCs w:val="24"/>
          <w:lang w:val="bg-BG"/>
        </w:rPr>
      </w:pPr>
    </w:p>
    <w:p w:rsidR="002A2A8C" w:rsidRPr="00385298" w:rsidRDefault="002A2A8C" w:rsidP="00F72565">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Тенденциите в изменението на климата показват неравномерното разпределение на количеството на валежите, водещо до чести засушавания, респективно намаление на добивите на земеделска продукция. Липсата на достатъчно валежи, които да осигурят приток на вода към водните тела, както и компрометираната напоителна система не дава възможност за предоставянето на вода за напояване на всички земеделски стопани. </w:t>
      </w:r>
    </w:p>
    <w:p w:rsidR="002A2A8C" w:rsidRPr="00385298" w:rsidRDefault="002A2A8C" w:rsidP="00F72565">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Техническото състояние на преобладаващата част от изградените с държавни средства системи и съоръжения е незадоволително. Това води до големи загуби на вода, което прави системите не само неефективни, а в някои случаи и рискови за експлоатация. </w:t>
      </w:r>
    </w:p>
    <w:p w:rsidR="002A2A8C" w:rsidRPr="00385298" w:rsidRDefault="002A2A8C" w:rsidP="00F72565">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Използването на механизация за поддържане и експлоатация на напоителните системи има за основна цел подобряване на проводимостта им и намаляване на загубите на вода, чрез извършване на текущи ремонти на системата/части от нея. Редица от каналите са земно-изкопни и имат постоянна необходимост от почистване на растителността и наносите с цел подобряване на проводимостта.</w:t>
      </w:r>
    </w:p>
    <w:p w:rsidR="002A2A8C" w:rsidRPr="00385298" w:rsidRDefault="002A2A8C" w:rsidP="00F72565">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Управляващият орган на ПРСР предлага през 2023 г. да бъде проведен прием на проектни предложения по подмярката, в рамките на който допустимият кандидат „Напоителни системи“ ЕАД да подготви и подаде проектно предложение, чрез което да бъдат реализирани инвестиции, насочени към реконструкция и/или рехабилитация на съществуващата хидромелиоративна инфраструктура в страната. В проектното предложение ще бъдат включени и разходи за закупуване на техника и оборудване, които, от една страна ще спомогнат за ефективното извършване на реконструкцията, и, от друга страна ще допринесат за подобряване проводимостта на напоителната система. </w:t>
      </w:r>
    </w:p>
    <w:p w:rsidR="002A2A8C" w:rsidRPr="00385298" w:rsidRDefault="002A2A8C" w:rsidP="00F72565">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Инвестициите в механизация ще спомогнат за намаляване на риска от затлачване и преливане, респективно на изтичане на вода по компрометираните трасета и ще доведе до намаляване и предотвратява риска от наводнения. </w:t>
      </w:r>
    </w:p>
    <w:p w:rsidR="002A2A8C" w:rsidRPr="00385298" w:rsidRDefault="002A2A8C" w:rsidP="00F72565">
      <w:pPr>
        <w:spacing w:after="0" w:line="240" w:lineRule="auto"/>
        <w:ind w:firstLine="709"/>
        <w:contextualSpacing/>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 съответствие с чл. 46 от Регламент (ЕС) 1305/2013, в проектното предложение ще бъдат включени и инвестиции за монтиране на системи за измерване на потреблението на вода. Измервателните устройства ще бъдат монтирани по цялата дължина на даден канал, което ще идентифицира местата на загубите на вода, които достигат до 80 %. Локализирането на местата с най-голяма необходимост от ремонт ще позволи тяхното отстраняване в кратки срокове чрез насочване на съответната механизация. Измервателните устройства ще дадат възможност за контролиране на потоците, което води до-по-добър екологичен ефект. Подобряването на напоителните системи и правилното им поддържане, водещо до намаляване на загубите на вода, освен прякото положително въздействие върху околната среда, ще доведе и до намаляване на разходите за вода и за нейната доставка до земеделските стопанства, което е в съответствие с екологичната насоченост на подмярка 4.3 „Подкрепа за инвестиции в инфраструктура - развитие, модернизация или адаптиране на земеделската и горска инфраструктура“.</w:t>
      </w:r>
    </w:p>
    <w:p w:rsidR="00D01CDD" w:rsidRPr="00385298" w:rsidRDefault="00D01CDD" w:rsidP="00D01CDD">
      <w:pPr>
        <w:spacing w:after="0" w:line="240" w:lineRule="auto"/>
        <w:ind w:firstLine="720"/>
        <w:contextualSpacing/>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Във връзка с намерението за стартиране на прием на проектни предложения по подмярка 4.3 „Подкрепа за инвестиции в инфраструктура - развитие, модернизация или адаптиране на земеделската и горска инфраструктура“ през 2023 г., Управляващият орган предлага изменение в текстовете на т. 8.2.3.3.5.8 от ПРСР 2014-2020 г., свързани с максималния размер на допустимите разходи за едно проектно предл</w:t>
      </w:r>
      <w:r w:rsidR="00DD44C7" w:rsidRPr="00385298">
        <w:rPr>
          <w:rFonts w:ascii="Times New Roman" w:hAnsi="Times New Roman" w:cs="Times New Roman"/>
          <w:sz w:val="24"/>
          <w:szCs w:val="24"/>
          <w:lang w:val="bg-BG"/>
        </w:rPr>
        <w:t>жение.</w:t>
      </w:r>
    </w:p>
    <w:tbl>
      <w:tblPr>
        <w:tblpPr w:leftFromText="180" w:rightFromText="180" w:vertAnchor="text" w:horzAnchor="margin" w:tblpY="2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494"/>
        <w:gridCol w:w="5239"/>
        <w:gridCol w:w="5770"/>
      </w:tblGrid>
      <w:tr w:rsidR="00037DA5" w:rsidRPr="00385298" w:rsidTr="004F1538">
        <w:tc>
          <w:tcPr>
            <w:tcW w:w="224" w:type="pct"/>
            <w:shd w:val="clear" w:color="auto" w:fill="D9D9D9"/>
            <w:vAlign w:val="center"/>
          </w:tcPr>
          <w:p w:rsidR="00037DA5" w:rsidRPr="00385298" w:rsidRDefault="00037DA5" w:rsidP="00037DA5">
            <w:pPr>
              <w:spacing w:after="0" w:line="240" w:lineRule="auto"/>
              <w:jc w:val="center"/>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w:t>
            </w:r>
          </w:p>
        </w:tc>
        <w:tc>
          <w:tcPr>
            <w:tcW w:w="882" w:type="pct"/>
            <w:shd w:val="clear" w:color="auto" w:fill="D9D9D9"/>
            <w:vAlign w:val="center"/>
          </w:tcPr>
          <w:p w:rsidR="00037DA5" w:rsidRPr="00385298" w:rsidRDefault="00037DA5" w:rsidP="00037DA5">
            <w:pPr>
              <w:spacing w:after="0" w:line="240" w:lineRule="auto"/>
              <w:jc w:val="center"/>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Част от ПРСР в която се прави предложение за промяна</w:t>
            </w:r>
          </w:p>
        </w:tc>
        <w:tc>
          <w:tcPr>
            <w:tcW w:w="1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7DA5" w:rsidRPr="00385298" w:rsidRDefault="00037DA5" w:rsidP="00037DA5">
            <w:pPr>
              <w:spacing w:line="240" w:lineRule="auto"/>
              <w:contextualSpacing/>
              <w:jc w:val="center"/>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Настоящ текст в ПРСР 2014-2020 г. (15-то изменение)</w:t>
            </w:r>
          </w:p>
        </w:tc>
        <w:tc>
          <w:tcPr>
            <w:tcW w:w="2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7DA5" w:rsidRPr="00385298" w:rsidRDefault="00037DA5" w:rsidP="00037DA5">
            <w:pPr>
              <w:spacing w:line="240" w:lineRule="auto"/>
              <w:contextualSpacing/>
              <w:jc w:val="center"/>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Предложение за нов текст в ПРСР 2014-2020 г.</w:t>
            </w:r>
          </w:p>
        </w:tc>
      </w:tr>
      <w:tr w:rsidR="00037DA5" w:rsidRPr="00385298" w:rsidTr="004F1538">
        <w:trPr>
          <w:trHeight w:val="478"/>
        </w:trPr>
        <w:tc>
          <w:tcPr>
            <w:tcW w:w="5000" w:type="pct"/>
            <w:gridSpan w:val="4"/>
            <w:tcBorders>
              <w:bottom w:val="single" w:sz="4" w:space="0" w:color="auto"/>
            </w:tcBorders>
            <w:shd w:val="clear" w:color="auto" w:fill="D9D9D9"/>
            <w:vAlign w:val="center"/>
          </w:tcPr>
          <w:p w:rsidR="00037DA5" w:rsidRPr="00385298" w:rsidRDefault="00037DA5" w:rsidP="00037DA5">
            <w:pPr>
              <w:spacing w:after="0" w:line="240" w:lineRule="auto"/>
              <w:rPr>
                <w:rFonts w:ascii="Times New Roman" w:eastAsia="Calibri" w:hAnsi="Times New Roman" w:cs="Times New Roman"/>
                <w:sz w:val="24"/>
                <w:szCs w:val="24"/>
                <w:lang w:val="bg-BG"/>
              </w:rPr>
            </w:pPr>
            <w:r w:rsidRPr="00385298">
              <w:rPr>
                <w:rFonts w:ascii="Times New Roman" w:eastAsia="Calibri" w:hAnsi="Times New Roman" w:cs="Times New Roman"/>
                <w:sz w:val="24"/>
                <w:szCs w:val="24"/>
                <w:lang w:val="bg-BG"/>
              </w:rPr>
              <w:t xml:space="preserve">Подмярка - </w:t>
            </w:r>
            <w:r w:rsidRPr="00385298">
              <w:rPr>
                <w:rFonts w:ascii="Times New Roman" w:eastAsia="Calibri" w:hAnsi="Times New Roman" w:cs="Times New Roman"/>
                <w:bCs/>
                <w:sz w:val="24"/>
                <w:szCs w:val="24"/>
                <w:lang w:val="bg-BG"/>
              </w:rPr>
              <w:t xml:space="preserve">4.3 </w:t>
            </w:r>
            <w:r w:rsidRPr="00385298">
              <w:rPr>
                <w:rFonts w:ascii="Times New Roman" w:hAnsi="Times New Roman" w:cs="Times New Roman"/>
                <w:sz w:val="24"/>
                <w:szCs w:val="24"/>
                <w:lang w:val="bg-BG"/>
              </w:rPr>
              <w:t>„</w:t>
            </w:r>
            <w:r w:rsidRPr="00385298">
              <w:rPr>
                <w:rFonts w:ascii="Times New Roman" w:hAnsi="Times New Roman" w:cs="Times New Roman"/>
                <w:bCs/>
                <w:sz w:val="24"/>
                <w:szCs w:val="24"/>
                <w:lang w:val="bg-BG"/>
              </w:rPr>
              <w:t>Подкрепа за инвестиции в инфраструктура - развитие, модернизация или адаптиране на земеделската и горска инфраструктура</w:t>
            </w:r>
            <w:r w:rsidRPr="00385298">
              <w:rPr>
                <w:rFonts w:ascii="Times New Roman" w:hAnsi="Times New Roman" w:cs="Times New Roman"/>
                <w:sz w:val="24"/>
                <w:szCs w:val="24"/>
                <w:lang w:val="bg-BG"/>
              </w:rPr>
              <w:t>“</w:t>
            </w:r>
          </w:p>
        </w:tc>
      </w:tr>
      <w:tr w:rsidR="00037DA5" w:rsidRPr="00385298" w:rsidTr="004F1538">
        <w:trPr>
          <w:trHeight w:val="898"/>
        </w:trPr>
        <w:tc>
          <w:tcPr>
            <w:tcW w:w="224" w:type="pct"/>
            <w:shd w:val="clear" w:color="auto" w:fill="auto"/>
            <w:vAlign w:val="center"/>
          </w:tcPr>
          <w:p w:rsidR="00037DA5" w:rsidRPr="00385298" w:rsidRDefault="00037DA5" w:rsidP="00037DA5">
            <w:pPr>
              <w:spacing w:after="0" w:line="240" w:lineRule="auto"/>
              <w:jc w:val="center"/>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1</w:t>
            </w:r>
          </w:p>
        </w:tc>
        <w:tc>
          <w:tcPr>
            <w:tcW w:w="882" w:type="pct"/>
            <w:shd w:val="clear" w:color="auto" w:fill="auto"/>
            <w:vAlign w:val="center"/>
          </w:tcPr>
          <w:p w:rsidR="00037DA5" w:rsidRPr="00385298" w:rsidRDefault="00037DA5" w:rsidP="00037DA5">
            <w:pPr>
              <w:spacing w:after="0" w:line="240" w:lineRule="auto"/>
              <w:rPr>
                <w:rFonts w:ascii="Times New Roman" w:eastAsia="Calibri" w:hAnsi="Times New Roman" w:cs="Times New Roman"/>
                <w:bCs/>
                <w:sz w:val="24"/>
                <w:szCs w:val="24"/>
                <w:lang w:val="bg-BG"/>
              </w:rPr>
            </w:pPr>
            <w:r w:rsidRPr="00385298">
              <w:rPr>
                <w:rFonts w:ascii="Times New Roman" w:eastAsia="Times New Roman" w:hAnsi="Times New Roman" w:cs="Times New Roman"/>
                <w:sz w:val="24"/>
                <w:szCs w:val="24"/>
                <w:lang w:val="bg-BG"/>
              </w:rPr>
              <w:t>8.2.3.3.5.8. (Приложими) суми и проценти на предоставяната подкрепа</w:t>
            </w:r>
          </w:p>
        </w:tc>
        <w:tc>
          <w:tcPr>
            <w:tcW w:w="1853" w:type="pct"/>
            <w:shd w:val="clear" w:color="auto" w:fill="auto"/>
            <w:vAlign w:val="center"/>
          </w:tcPr>
          <w:p w:rsidR="00037DA5" w:rsidRPr="00385298" w:rsidRDefault="00037DA5" w:rsidP="00037DA5">
            <w:pPr>
              <w:spacing w:after="0" w:line="240" w:lineRule="auto"/>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Максималният размер на допустимите разходи за кандидати по т. 3 от раздел 4 „Бенефициери“ за едно проектно предложение не може да надхвърля левовата равностойност на 6 000 000 евро.</w:t>
            </w:r>
          </w:p>
          <w:p w:rsidR="00037DA5" w:rsidRPr="00385298" w:rsidRDefault="00037DA5" w:rsidP="00037DA5">
            <w:pPr>
              <w:spacing w:after="0" w:line="240" w:lineRule="auto"/>
              <w:rPr>
                <w:rFonts w:ascii="Times New Roman" w:eastAsia="Calibri" w:hAnsi="Times New Roman" w:cs="Times New Roman"/>
                <w:bCs/>
                <w:sz w:val="24"/>
                <w:szCs w:val="24"/>
                <w:lang w:val="bg-BG"/>
              </w:rPr>
            </w:pPr>
          </w:p>
        </w:tc>
        <w:tc>
          <w:tcPr>
            <w:tcW w:w="2041" w:type="pct"/>
            <w:shd w:val="clear" w:color="auto" w:fill="auto"/>
            <w:vAlign w:val="center"/>
          </w:tcPr>
          <w:p w:rsidR="00037DA5" w:rsidRPr="00385298" w:rsidRDefault="00037DA5" w:rsidP="00037DA5">
            <w:pPr>
              <w:spacing w:after="0" w:line="240" w:lineRule="auto"/>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 xml:space="preserve">Максималният размер на допустимите разходи за кандидати по т. 3 от раздел 4 „Бенефициери“ за едно проектно предложение не може да надхвърля левовата равностойност на </w:t>
            </w:r>
            <w:r w:rsidRPr="00385298">
              <w:rPr>
                <w:rFonts w:ascii="Times New Roman" w:eastAsia="Calibri" w:hAnsi="Times New Roman" w:cs="Times New Roman"/>
                <w:bCs/>
                <w:strike/>
                <w:color w:val="FF0000"/>
                <w:sz w:val="24"/>
                <w:szCs w:val="24"/>
                <w:lang w:val="bg-BG"/>
              </w:rPr>
              <w:t xml:space="preserve">6 000 000 </w:t>
            </w:r>
            <w:r w:rsidRPr="00385298">
              <w:rPr>
                <w:rFonts w:ascii="Times New Roman" w:eastAsia="Calibri" w:hAnsi="Times New Roman" w:cs="Times New Roman"/>
                <w:bCs/>
                <w:color w:val="FF0000"/>
                <w:sz w:val="24"/>
                <w:szCs w:val="24"/>
                <w:lang w:val="bg-BG"/>
              </w:rPr>
              <w:t xml:space="preserve">50 000 000 </w:t>
            </w:r>
            <w:r w:rsidRPr="00385298">
              <w:rPr>
                <w:rFonts w:ascii="Times New Roman" w:eastAsia="Calibri" w:hAnsi="Times New Roman" w:cs="Times New Roman"/>
                <w:bCs/>
                <w:sz w:val="24"/>
                <w:szCs w:val="24"/>
                <w:lang w:val="bg-BG"/>
              </w:rPr>
              <w:t>евро.</w:t>
            </w:r>
          </w:p>
          <w:p w:rsidR="00037DA5" w:rsidRPr="00385298" w:rsidRDefault="00037DA5" w:rsidP="00037DA5">
            <w:pPr>
              <w:spacing w:after="0" w:line="240" w:lineRule="auto"/>
              <w:rPr>
                <w:rFonts w:ascii="Times New Roman" w:eastAsia="Calibri" w:hAnsi="Times New Roman" w:cs="Times New Roman"/>
                <w:bCs/>
                <w:sz w:val="24"/>
                <w:szCs w:val="24"/>
                <w:lang w:val="bg-BG"/>
              </w:rPr>
            </w:pPr>
          </w:p>
        </w:tc>
      </w:tr>
    </w:tbl>
    <w:p w:rsidR="00DD44C7" w:rsidRPr="00385298" w:rsidRDefault="00DD44C7" w:rsidP="00F72565">
      <w:pPr>
        <w:spacing w:after="0" w:line="240" w:lineRule="auto"/>
        <w:contextualSpacing/>
        <w:rPr>
          <w:rFonts w:ascii="Times New Roman" w:hAnsi="Times New Roman" w:cs="Times New Roman"/>
          <w:b/>
          <w:sz w:val="24"/>
          <w:szCs w:val="24"/>
          <w:lang w:val="bg-BG"/>
        </w:rPr>
      </w:pPr>
    </w:p>
    <w:p w:rsidR="00DD44C7" w:rsidRPr="00385298" w:rsidRDefault="00DD44C7" w:rsidP="00DD44C7">
      <w:pPr>
        <w:rPr>
          <w:rFonts w:ascii="Times New Roman" w:hAnsi="Times New Roman" w:cs="Times New Roman"/>
          <w:sz w:val="24"/>
          <w:szCs w:val="24"/>
          <w:lang w:val="bg-BG"/>
        </w:rPr>
      </w:pPr>
    </w:p>
    <w:p w:rsidR="003B163C" w:rsidRPr="00385298" w:rsidRDefault="003B163C" w:rsidP="00DD44C7">
      <w:pPr>
        <w:spacing w:after="0" w:line="240" w:lineRule="auto"/>
        <w:contextualSpacing/>
        <w:rPr>
          <w:rFonts w:ascii="Times New Roman" w:hAnsi="Times New Roman" w:cs="Times New Roman"/>
          <w:b/>
          <w:i/>
          <w:sz w:val="24"/>
          <w:szCs w:val="24"/>
          <w:lang w:val="bg-BG"/>
        </w:rPr>
      </w:pPr>
    </w:p>
    <w:p w:rsidR="003B163C" w:rsidRPr="00385298" w:rsidRDefault="003B163C" w:rsidP="00DD44C7">
      <w:pPr>
        <w:spacing w:after="0" w:line="240" w:lineRule="auto"/>
        <w:contextualSpacing/>
        <w:rPr>
          <w:rFonts w:ascii="Times New Roman" w:hAnsi="Times New Roman" w:cs="Times New Roman"/>
          <w:b/>
          <w:i/>
          <w:sz w:val="24"/>
          <w:szCs w:val="24"/>
          <w:lang w:val="bg-BG"/>
        </w:rPr>
      </w:pPr>
    </w:p>
    <w:p w:rsidR="003B163C" w:rsidRPr="00385298" w:rsidRDefault="003B163C" w:rsidP="00DD44C7">
      <w:pPr>
        <w:spacing w:after="0" w:line="240" w:lineRule="auto"/>
        <w:contextualSpacing/>
        <w:rPr>
          <w:rFonts w:ascii="Times New Roman" w:hAnsi="Times New Roman" w:cs="Times New Roman"/>
          <w:b/>
          <w:i/>
          <w:sz w:val="24"/>
          <w:szCs w:val="24"/>
          <w:lang w:val="bg-BG"/>
        </w:rPr>
      </w:pPr>
    </w:p>
    <w:p w:rsidR="003B163C" w:rsidRPr="00385298" w:rsidRDefault="003B163C" w:rsidP="00DD44C7">
      <w:pPr>
        <w:spacing w:after="0" w:line="240" w:lineRule="auto"/>
        <w:contextualSpacing/>
        <w:rPr>
          <w:rFonts w:ascii="Times New Roman" w:hAnsi="Times New Roman" w:cs="Times New Roman"/>
          <w:b/>
          <w:i/>
          <w:sz w:val="24"/>
          <w:szCs w:val="24"/>
          <w:u w:val="single"/>
          <w:lang w:val="bg-BG"/>
        </w:rPr>
      </w:pPr>
      <w:r w:rsidRPr="00385298">
        <w:rPr>
          <w:rFonts w:ascii="Times New Roman" w:hAnsi="Times New Roman" w:cs="Times New Roman"/>
          <w:b/>
          <w:i/>
          <w:sz w:val="24"/>
          <w:szCs w:val="24"/>
          <w:u w:val="single"/>
          <w:lang w:val="bg-BG"/>
        </w:rPr>
        <w:t>Приложение 4</w:t>
      </w:r>
    </w:p>
    <w:p w:rsidR="003B163C" w:rsidRPr="00385298" w:rsidRDefault="003B163C" w:rsidP="00DD44C7">
      <w:pPr>
        <w:spacing w:after="0" w:line="240" w:lineRule="auto"/>
        <w:contextualSpacing/>
        <w:rPr>
          <w:rFonts w:ascii="Times New Roman" w:hAnsi="Times New Roman" w:cs="Times New Roman"/>
          <w:b/>
          <w:i/>
          <w:sz w:val="24"/>
          <w:szCs w:val="24"/>
          <w:u w:val="single"/>
          <w:lang w:val="bg-BG"/>
        </w:rPr>
      </w:pPr>
    </w:p>
    <w:p w:rsidR="003B163C" w:rsidRPr="00385298" w:rsidRDefault="003B163C" w:rsidP="00DD44C7">
      <w:pPr>
        <w:spacing w:after="0" w:line="240" w:lineRule="auto"/>
        <w:contextualSpacing/>
        <w:rPr>
          <w:rFonts w:ascii="Times New Roman" w:hAnsi="Times New Roman" w:cs="Times New Roman"/>
          <w:b/>
          <w:i/>
          <w:sz w:val="24"/>
          <w:szCs w:val="24"/>
          <w:u w:val="single"/>
          <w:lang w:val="bg-BG"/>
        </w:rPr>
      </w:pPr>
    </w:p>
    <w:p w:rsidR="003B163C" w:rsidRPr="00385298" w:rsidRDefault="003B163C" w:rsidP="003B163C">
      <w:pPr>
        <w:pBdr>
          <w:top w:val="single" w:sz="4" w:space="1" w:color="auto"/>
          <w:left w:val="single" w:sz="4" w:space="4" w:color="auto"/>
          <w:bottom w:val="single" w:sz="4" w:space="1" w:color="auto"/>
          <w:right w:val="single" w:sz="4" w:space="4" w:color="auto"/>
        </w:pBdr>
        <w:shd w:val="clear" w:color="auto" w:fill="D9D9D9" w:themeFill="background1" w:themeFillShade="D9"/>
        <w:ind w:firstLine="567"/>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Допълнение от 04.04.2023 г. към предложението на Управляващия орган на ПРСР 2014-2020 г. за 16-то изменение на Програмата за развитие на селските райони 2014-2020 г.:</w:t>
      </w:r>
    </w:p>
    <w:p w:rsidR="003B163C" w:rsidRPr="00385298" w:rsidRDefault="003B163C" w:rsidP="003B16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567"/>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 xml:space="preserve">Писмена процедура - изменения в текстове на мерки и подмерки от ПРСР 2014 – 2020 г.; Прехвърляне на средства между мерки и подмерки от Програмата; </w:t>
      </w:r>
    </w:p>
    <w:p w:rsidR="003B163C" w:rsidRPr="00385298" w:rsidRDefault="003B163C" w:rsidP="003B16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firstLine="567"/>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 xml:space="preserve"> </w:t>
      </w:r>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1" w:name="_Toc131579022"/>
      <w:r w:rsidRPr="00385298">
        <w:rPr>
          <w:rFonts w:ascii="Times New Roman" w:eastAsia="Times New Roman" w:hAnsi="Times New Roman" w:cs="Times New Roman"/>
          <w:b/>
          <w:sz w:val="24"/>
          <w:szCs w:val="24"/>
          <w:lang w:val="bg-BG"/>
        </w:rPr>
        <w:t>Прехвърляне на средства между мeрки, подмерки и фокус области от ПРСР (2014-2020)</w:t>
      </w:r>
      <w:bookmarkEnd w:id="1"/>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2" w:name="_Toc131579023"/>
      <w:r w:rsidRPr="00385298">
        <w:rPr>
          <w:rFonts w:ascii="Times New Roman" w:eastAsia="Times New Roman" w:hAnsi="Times New Roman" w:cs="Times New Roman"/>
          <w:b/>
          <w:sz w:val="24"/>
          <w:szCs w:val="24"/>
          <w:lang w:val="bg-BG"/>
        </w:rPr>
        <w:t>Прехвърляне на средства между мeрки и подмерки от ПРСР 2014-2020 г.</w:t>
      </w:r>
      <w:bookmarkEnd w:id="2"/>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С текущото, шестнадесето изменение на ПРСР 2014-2020 г., освен промени в дизайна на Програмата, се предлага и прехвърляне на остатъчни средства между мерки и подмерки на ПРСР 2014-2020, както следва:</w:t>
      </w:r>
    </w:p>
    <w:p w:rsidR="003B163C" w:rsidRPr="00385298" w:rsidRDefault="003B163C" w:rsidP="003B163C">
      <w:pPr>
        <w:jc w:val="both"/>
        <w:rPr>
          <w:rFonts w:ascii="Times New Roman" w:hAnsi="Times New Roman" w:cs="Times New Roman"/>
          <w:sz w:val="24"/>
          <w:szCs w:val="24"/>
          <w:lang w:val="bg-BG"/>
        </w:rPr>
      </w:pPr>
      <w:r w:rsidRPr="00385298">
        <w:rPr>
          <w:rFonts w:ascii="Times New Roman" w:eastAsia="Times New Roman" w:hAnsi="Times New Roman" w:cs="Times New Roman"/>
          <w:b/>
          <w:sz w:val="24"/>
          <w:szCs w:val="24"/>
          <w:lang w:val="bg-BG" w:eastAsia="bg-BG"/>
        </w:rPr>
        <w:t>Таблица 1:</w:t>
      </w:r>
      <w:r w:rsidRPr="00385298">
        <w:rPr>
          <w:rFonts w:ascii="Times New Roman" w:hAnsi="Times New Roman" w:cs="Times New Roman"/>
          <w:sz w:val="24"/>
          <w:szCs w:val="24"/>
          <w:lang w:val="bg-BG"/>
        </w:rPr>
        <w:t xml:space="preserve"> Предложение за гласуване на писмена процедура – преразпределение на средства:</w:t>
      </w:r>
      <w:r w:rsidRPr="00385298">
        <w:rPr>
          <w:rFonts w:ascii="Times New Roman" w:hAnsi="Times New Roman" w:cs="Times New Roman"/>
          <w:b/>
          <w:sz w:val="24"/>
          <w:szCs w:val="24"/>
          <w:lang w:val="bg-BG"/>
        </w:rPr>
        <w:t xml:space="preserve"> </w:t>
      </w:r>
      <w:r w:rsidRPr="00385298">
        <w:rPr>
          <w:rFonts w:ascii="Times New Roman" w:hAnsi="Times New Roman" w:cs="Times New Roman"/>
          <w:b/>
          <w:sz w:val="24"/>
          <w:szCs w:val="24"/>
          <w:lang w:val="bg-BG"/>
        </w:rPr>
        <w:tab/>
      </w:r>
    </w:p>
    <w:tbl>
      <w:tblPr>
        <w:tblStyle w:val="TableGrid"/>
        <w:tblW w:w="14743" w:type="dxa"/>
        <w:tblInd w:w="-289" w:type="dxa"/>
        <w:tblLook w:val="04A0" w:firstRow="1" w:lastRow="0" w:firstColumn="1" w:lastColumn="0" w:noHBand="0" w:noVBand="1"/>
      </w:tblPr>
      <w:tblGrid>
        <w:gridCol w:w="4253"/>
        <w:gridCol w:w="10490"/>
      </w:tblGrid>
      <w:tr w:rsidR="003B163C" w:rsidRPr="00385298" w:rsidTr="004F1538">
        <w:tc>
          <w:tcPr>
            <w:tcW w:w="4253" w:type="dxa"/>
            <w:shd w:val="clear" w:color="auto" w:fill="EAF1DD" w:themeFill="accent3" w:themeFillTint="33"/>
          </w:tcPr>
          <w:p w:rsidR="003B163C" w:rsidRPr="00385298" w:rsidRDefault="003B163C" w:rsidP="003B163C">
            <w:pPr>
              <w:jc w:val="center"/>
              <w:rPr>
                <w:rFonts w:ascii="Times New Roman" w:hAnsi="Times New Roman" w:cs="Times New Roman"/>
                <w:sz w:val="24"/>
                <w:szCs w:val="24"/>
                <w:lang w:val="bg-BG"/>
              </w:rPr>
            </w:pPr>
          </w:p>
          <w:p w:rsidR="003B163C" w:rsidRPr="00385298" w:rsidRDefault="003B163C" w:rsidP="003B163C">
            <w:pPr>
              <w:jc w:val="center"/>
              <w:rPr>
                <w:rFonts w:ascii="Times New Roman" w:hAnsi="Times New Roman" w:cs="Times New Roman"/>
                <w:sz w:val="24"/>
                <w:szCs w:val="24"/>
                <w:lang w:val="bg-BG"/>
              </w:rPr>
            </w:pPr>
          </w:p>
        </w:tc>
        <w:tc>
          <w:tcPr>
            <w:tcW w:w="10490" w:type="dxa"/>
            <w:shd w:val="clear" w:color="auto" w:fill="EAF1DD" w:themeFill="accent3" w:themeFillTint="33"/>
          </w:tcPr>
          <w:p w:rsidR="003B163C" w:rsidRPr="00385298" w:rsidRDefault="003B163C" w:rsidP="003B163C">
            <w:pPr>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Предложение за гласуване на писмена процедура от 05.04.2023 г.:</w:t>
            </w:r>
          </w:p>
        </w:tc>
      </w:tr>
      <w:tr w:rsidR="003B163C" w:rsidRPr="00385298" w:rsidTr="004F1538">
        <w:tc>
          <w:tcPr>
            <w:tcW w:w="4253" w:type="dxa"/>
          </w:tcPr>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Подмярка 1.2. „Демонстрационни дейности и действия по осведомяване“ – извеждане на 12 255 556 евро публични средства</w:t>
            </w:r>
          </w:p>
        </w:tc>
        <w:tc>
          <w:tcPr>
            <w:tcW w:w="10490" w:type="dxa"/>
          </w:tcPr>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b/>
                <w:sz w:val="24"/>
                <w:szCs w:val="24"/>
                <w:lang w:val="bg-BG"/>
              </w:rPr>
              <w:t>Ново предложение</w:t>
            </w:r>
            <w:r w:rsidRPr="00385298">
              <w:rPr>
                <w:rFonts w:ascii="Times New Roman" w:hAnsi="Times New Roman" w:cs="Times New Roman"/>
                <w:sz w:val="24"/>
                <w:szCs w:val="24"/>
                <w:lang w:val="bg-BG"/>
              </w:rPr>
              <w:t xml:space="preserve"> - Подмярка 1.2. „Демонстрационни дейности и действия по осведомяване“ – извеждане на 6 255 556 евро публични средства (6 млн. евро по-малко, с цел стартиране на прием по подмярката)</w:t>
            </w:r>
          </w:p>
        </w:tc>
      </w:tr>
      <w:tr w:rsidR="003B163C" w:rsidRPr="00385298" w:rsidTr="004F1538">
        <w:tc>
          <w:tcPr>
            <w:tcW w:w="4253" w:type="dxa"/>
          </w:tcPr>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Подмярка 4.2 „Инвестиции в преработка/маркетинг на селскостопански продукти“ – добавяне на 20 000 000 евро публични средства</w:t>
            </w:r>
          </w:p>
        </w:tc>
        <w:tc>
          <w:tcPr>
            <w:tcW w:w="10490" w:type="dxa"/>
          </w:tcPr>
          <w:p w:rsidR="003B163C" w:rsidRPr="00385298" w:rsidRDefault="003B163C" w:rsidP="003B163C">
            <w:pPr>
              <w:jc w:val="both"/>
              <w:rPr>
                <w:rFonts w:ascii="Times New Roman" w:hAnsi="Times New Roman" w:cs="Times New Roman"/>
                <w:b/>
                <w:sz w:val="24"/>
                <w:szCs w:val="24"/>
                <w:lang w:val="bg-BG"/>
              </w:rPr>
            </w:pPr>
          </w:p>
          <w:p w:rsidR="003B163C" w:rsidRPr="00385298" w:rsidRDefault="003B163C" w:rsidP="003B163C">
            <w:pPr>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Предложението отпада</w:t>
            </w:r>
          </w:p>
        </w:tc>
      </w:tr>
      <w:tr w:rsidR="003B163C" w:rsidRPr="00385298" w:rsidTr="004F1538">
        <w:tc>
          <w:tcPr>
            <w:tcW w:w="4253" w:type="dxa"/>
          </w:tcPr>
          <w:p w:rsidR="003B163C" w:rsidRPr="00385298" w:rsidRDefault="003B163C" w:rsidP="003B163C">
            <w:pPr>
              <w:jc w:val="both"/>
              <w:rPr>
                <w:rFonts w:ascii="Times New Roman" w:hAnsi="Times New Roman" w:cs="Times New Roman"/>
                <w:b/>
                <w:sz w:val="24"/>
                <w:szCs w:val="24"/>
                <w:lang w:val="bg-BG"/>
              </w:rPr>
            </w:pPr>
          </w:p>
        </w:tc>
        <w:tc>
          <w:tcPr>
            <w:tcW w:w="10490" w:type="dxa"/>
          </w:tcPr>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b/>
                <w:sz w:val="24"/>
                <w:szCs w:val="24"/>
                <w:lang w:val="bg-BG"/>
              </w:rPr>
              <w:t>Ново предложение</w:t>
            </w:r>
            <w:r w:rsidRPr="00385298">
              <w:rPr>
                <w:rFonts w:ascii="Times New Roman" w:hAnsi="Times New Roman" w:cs="Times New Roman"/>
                <w:sz w:val="24"/>
                <w:szCs w:val="24"/>
                <w:lang w:val="bg-BG"/>
              </w:rPr>
              <w:t xml:space="preserve"> - Подмярка 4.3 „Инвестиции в инфраструктура“ – добавяне на 20 000 000 евро публични средства</w:t>
            </w:r>
          </w:p>
        </w:tc>
      </w:tr>
      <w:tr w:rsidR="003B163C" w:rsidRPr="00385298" w:rsidTr="004F1538">
        <w:tc>
          <w:tcPr>
            <w:tcW w:w="4253" w:type="dxa"/>
          </w:tcPr>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Подмярка 7.2. „Инвестиции в създаването, подобряването или разширяването на всички видове малка </w:t>
            </w:r>
            <w:r w:rsidRPr="00385298">
              <w:rPr>
                <w:rFonts w:ascii="Times New Roman" w:hAnsi="Times New Roman" w:cs="Times New Roman"/>
                <w:sz w:val="24"/>
                <w:szCs w:val="24"/>
                <w:lang w:val="bg-BG"/>
              </w:rPr>
              <w:lastRenderedPageBreak/>
              <w:t>по мащаби инфраструктура“ ФО 6В – добавяне на 22 974 112 евро публични средства за увеличение приема от 2022 г.</w:t>
            </w:r>
          </w:p>
        </w:tc>
        <w:tc>
          <w:tcPr>
            <w:tcW w:w="10490" w:type="dxa"/>
          </w:tcPr>
          <w:p w:rsidR="003B163C" w:rsidRPr="00385298" w:rsidRDefault="003B163C" w:rsidP="003B163C">
            <w:pPr>
              <w:jc w:val="both"/>
              <w:rPr>
                <w:rFonts w:ascii="Times New Roman" w:hAnsi="Times New Roman" w:cs="Times New Roman"/>
                <w:b/>
                <w:sz w:val="24"/>
                <w:szCs w:val="24"/>
                <w:lang w:val="bg-BG"/>
              </w:rPr>
            </w:pPr>
          </w:p>
          <w:p w:rsidR="003B163C" w:rsidRPr="00385298" w:rsidRDefault="003B163C" w:rsidP="003B163C">
            <w:pPr>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Предложението отпада</w:t>
            </w:r>
          </w:p>
        </w:tc>
      </w:tr>
      <w:tr w:rsidR="003B163C" w:rsidRPr="00385298" w:rsidTr="004F1538">
        <w:tc>
          <w:tcPr>
            <w:tcW w:w="4253" w:type="dxa"/>
          </w:tcPr>
          <w:p w:rsidR="003B163C" w:rsidRPr="00385298" w:rsidRDefault="003B163C" w:rsidP="003B163C">
            <w:pPr>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 xml:space="preserve"> </w:t>
            </w:r>
          </w:p>
        </w:tc>
        <w:tc>
          <w:tcPr>
            <w:tcW w:w="10490" w:type="dxa"/>
          </w:tcPr>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b/>
                <w:sz w:val="24"/>
                <w:szCs w:val="24"/>
                <w:lang w:val="bg-BG"/>
              </w:rPr>
              <w:t>Ново предложение</w:t>
            </w:r>
            <w:r w:rsidRPr="00385298">
              <w:rPr>
                <w:rFonts w:ascii="Times New Roman" w:hAnsi="Times New Roman" w:cs="Times New Roman"/>
                <w:sz w:val="24"/>
                <w:szCs w:val="24"/>
                <w:lang w:val="bg-BG"/>
              </w:rPr>
              <w:t xml:space="preserve"> - Подмярка 7.2. „Инвестиции в създаването, подобряването или разширяването на всички видове малка по мащаби инфраструктура“ ФО 5В – добавяне на 16 621 171 евро публични средства за увеличение приема от 2022 г. (6 352 941 евро по-малко, но към подпомагане на инвестиции конкретно за ВЕИ)</w:t>
            </w:r>
          </w:p>
        </w:tc>
      </w:tr>
    </w:tbl>
    <w:p w:rsidR="003B163C" w:rsidRPr="00385298" w:rsidRDefault="003B163C" w:rsidP="003B163C">
      <w:pPr>
        <w:ind w:firstLine="567"/>
        <w:jc w:val="both"/>
        <w:rPr>
          <w:rFonts w:ascii="Times New Roman" w:hAnsi="Times New Roman" w:cs="Times New Roman"/>
          <w:sz w:val="24"/>
          <w:szCs w:val="24"/>
          <w:lang w:val="bg-BG"/>
        </w:rPr>
      </w:pPr>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С така предложените допълнителни промени, представената обобщена таблица придобива следния вид:</w:t>
      </w:r>
    </w:p>
    <w:p w:rsidR="003B163C" w:rsidRPr="00385298" w:rsidRDefault="003B163C" w:rsidP="003B163C">
      <w:pPr>
        <w:ind w:firstLine="567"/>
        <w:jc w:val="both"/>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Таблица 1а:</w:t>
      </w:r>
    </w:p>
    <w:tbl>
      <w:tblPr>
        <w:tblW w:w="5365" w:type="pct"/>
        <w:tblInd w:w="-289" w:type="dxa"/>
        <w:tblLayout w:type="fixed"/>
        <w:tblLook w:val="04A0" w:firstRow="1" w:lastRow="0" w:firstColumn="1" w:lastColumn="0" w:noHBand="0" w:noVBand="1"/>
      </w:tblPr>
      <w:tblGrid>
        <w:gridCol w:w="5233"/>
        <w:gridCol w:w="1942"/>
        <w:gridCol w:w="1744"/>
        <w:gridCol w:w="1714"/>
        <w:gridCol w:w="1559"/>
        <w:gridCol w:w="1417"/>
        <w:gridCol w:w="1559"/>
      </w:tblGrid>
      <w:tr w:rsidR="002D7908" w:rsidRPr="00385298" w:rsidTr="004F1538">
        <w:trPr>
          <w:trHeight w:val="682"/>
        </w:trPr>
        <w:tc>
          <w:tcPr>
            <w:tcW w:w="1725"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Предложение за прехвърляне на средства между мерки/подмерки от ПРСР 2014-2020</w:t>
            </w:r>
          </w:p>
        </w:tc>
        <w:tc>
          <w:tcPr>
            <w:tcW w:w="640" w:type="pct"/>
            <w:tcBorders>
              <w:top w:val="single" w:sz="4" w:space="0" w:color="auto"/>
              <w:left w:val="nil"/>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xml:space="preserve">Текущ индикативен бюджет, евро </w:t>
            </w:r>
            <w:r w:rsidRPr="00385298">
              <w:rPr>
                <w:rFonts w:ascii="Times New Roman" w:eastAsia="Times New Roman" w:hAnsi="Times New Roman" w:cs="Times New Roman"/>
                <w:color w:val="FF0000"/>
                <w:sz w:val="24"/>
                <w:szCs w:val="24"/>
                <w:lang w:val="bg-BG"/>
              </w:rPr>
              <w:t>публични средства</w:t>
            </w:r>
            <w:r w:rsidRPr="00385298">
              <w:rPr>
                <w:rFonts w:ascii="Times New Roman" w:eastAsia="Times New Roman" w:hAnsi="Times New Roman" w:cs="Times New Roman"/>
                <w:color w:val="000000"/>
                <w:sz w:val="24"/>
                <w:szCs w:val="24"/>
                <w:lang w:val="bg-BG"/>
              </w:rPr>
              <w:t xml:space="preserve"> (15то изменение)</w:t>
            </w:r>
          </w:p>
        </w:tc>
        <w:tc>
          <w:tcPr>
            <w:tcW w:w="575" w:type="pct"/>
            <w:tcBorders>
              <w:top w:val="single" w:sz="4" w:space="0" w:color="auto"/>
              <w:left w:val="nil"/>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Преразпределяне вътре в подмерки, евро ЕЗФРСР</w:t>
            </w:r>
          </w:p>
        </w:tc>
        <w:tc>
          <w:tcPr>
            <w:tcW w:w="565" w:type="pct"/>
            <w:tcBorders>
              <w:top w:val="single" w:sz="4" w:space="0" w:color="auto"/>
              <w:left w:val="nil"/>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Преразпределяне вътре в подмерки, евро публични средства</w:t>
            </w:r>
          </w:p>
        </w:tc>
        <w:tc>
          <w:tcPr>
            <w:tcW w:w="514" w:type="pct"/>
            <w:tcBorders>
              <w:top w:val="single" w:sz="4" w:space="0" w:color="auto"/>
              <w:left w:val="nil"/>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Предложение за извеждане/добавяне евро ЕЗФРСР</w:t>
            </w:r>
          </w:p>
        </w:tc>
        <w:tc>
          <w:tcPr>
            <w:tcW w:w="467" w:type="pct"/>
            <w:tcBorders>
              <w:top w:val="single" w:sz="4" w:space="0" w:color="auto"/>
              <w:left w:val="nil"/>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Предложение за извеждане/добавяне, евро публични средства</w:t>
            </w:r>
          </w:p>
        </w:tc>
        <w:tc>
          <w:tcPr>
            <w:tcW w:w="514" w:type="pct"/>
            <w:tcBorders>
              <w:top w:val="single" w:sz="4" w:space="0" w:color="auto"/>
              <w:left w:val="nil"/>
              <w:bottom w:val="single" w:sz="4" w:space="0" w:color="auto"/>
              <w:right w:val="single" w:sz="4" w:space="0" w:color="auto"/>
            </w:tcBorders>
            <w:shd w:val="clear" w:color="000000" w:fill="E2EFDA"/>
            <w:vAlign w:val="center"/>
            <w:hideMark/>
          </w:tcPr>
          <w:p w:rsidR="000B1A10" w:rsidRPr="00385298" w:rsidRDefault="000B1A10" w:rsidP="000B1A10">
            <w:pPr>
              <w:spacing w:after="0" w:line="240" w:lineRule="auto"/>
              <w:jc w:val="center"/>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Oбщо индикативен бюджет,</w:t>
            </w:r>
            <w:r w:rsidRPr="00385298">
              <w:rPr>
                <w:rFonts w:ascii="Times New Roman" w:eastAsia="Times New Roman" w:hAnsi="Times New Roman" w:cs="Times New Roman"/>
                <w:color w:val="FF0000"/>
                <w:sz w:val="24"/>
                <w:szCs w:val="24"/>
                <w:lang w:val="bg-BG"/>
              </w:rPr>
              <w:t xml:space="preserve">публични средства </w:t>
            </w:r>
            <w:r w:rsidRPr="00385298">
              <w:rPr>
                <w:rFonts w:ascii="Times New Roman" w:eastAsia="Times New Roman" w:hAnsi="Times New Roman" w:cs="Times New Roman"/>
                <w:color w:val="000000"/>
                <w:sz w:val="24"/>
                <w:szCs w:val="24"/>
                <w:lang w:val="bg-BG"/>
              </w:rPr>
              <w:t xml:space="preserve"> - след добавяне </w:t>
            </w:r>
          </w:p>
        </w:tc>
      </w:tr>
      <w:tr w:rsidR="000B1A10" w:rsidRPr="00385298" w:rsidTr="004F1538">
        <w:trPr>
          <w:trHeight w:val="178"/>
        </w:trPr>
        <w:tc>
          <w:tcPr>
            <w:tcW w:w="5000" w:type="pct"/>
            <w:gridSpan w:val="7"/>
            <w:tcBorders>
              <w:top w:val="single" w:sz="4" w:space="0" w:color="auto"/>
              <w:left w:val="single" w:sz="4" w:space="0" w:color="auto"/>
              <w:bottom w:val="single" w:sz="4" w:space="0" w:color="auto"/>
              <w:right w:val="nil"/>
            </w:tcBorders>
            <w:shd w:val="clear" w:color="000000" w:fill="DDEBF7"/>
            <w:vAlign w:val="bottom"/>
            <w:hideMark/>
          </w:tcPr>
          <w:p w:rsidR="000B1A10" w:rsidRPr="00385298" w:rsidRDefault="000B1A10" w:rsidP="000B1A10">
            <w:pPr>
              <w:spacing w:after="0" w:line="240" w:lineRule="auto"/>
              <w:jc w:val="center"/>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I. Извеждане на средства</w:t>
            </w:r>
          </w:p>
        </w:tc>
      </w:tr>
      <w:tr w:rsidR="002D7908" w:rsidRPr="00385298" w:rsidTr="004F1538">
        <w:trPr>
          <w:trHeight w:val="139"/>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1 Трансфер на знания и действия за осведомяване</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23 000 000</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-7 930 000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-8 811 111</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14 188 889</w:t>
            </w:r>
          </w:p>
        </w:tc>
      </w:tr>
      <w:tr w:rsidR="000B1A10" w:rsidRPr="00385298" w:rsidTr="004F1538">
        <w:trPr>
          <w:trHeight w:val="227"/>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1.1. Професионално обучение и придобиване на умения</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8 000 000</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-2 300 000</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-2 555 556</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5 444 444</w:t>
            </w:r>
          </w:p>
        </w:tc>
      </w:tr>
      <w:tr w:rsidR="000B1A10" w:rsidRPr="00385298" w:rsidTr="004F1538">
        <w:trPr>
          <w:trHeight w:val="53"/>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Подмярка 1.2. Демонстрационни дейности и действия по осведомяване</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15 000 000</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 </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-5 630 000</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-6 255 556</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8 744 444</w:t>
            </w:r>
          </w:p>
        </w:tc>
      </w:tr>
      <w:tr w:rsidR="002D7908" w:rsidRPr="00385298" w:rsidTr="004F1538">
        <w:trPr>
          <w:trHeight w:val="181"/>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6.1 Стартова помощ за млади земеделски стопани</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107 713 021</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-11 300 000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-12 555 556</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95 157 466</w:t>
            </w:r>
          </w:p>
        </w:tc>
      </w:tr>
      <w:tr w:rsidR="002D7908" w:rsidRPr="00385298" w:rsidTr="004F1538">
        <w:trPr>
          <w:trHeight w:val="600"/>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6.3 „Стартова помощ за развитието на малки стопанства“(ТПП)</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83 945 294</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-2 800 000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-3 294 118</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80 651 176</w:t>
            </w:r>
          </w:p>
        </w:tc>
      </w:tr>
      <w:tr w:rsidR="002D7908" w:rsidRPr="00385298" w:rsidTr="004F1538">
        <w:trPr>
          <w:trHeight w:val="600"/>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6.4.1 Инвестиционна подкрепа за неземеделски дейности</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72 798 654</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-11 100 000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-13 058 824</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59 739 831</w:t>
            </w:r>
          </w:p>
        </w:tc>
      </w:tr>
      <w:tr w:rsidR="002D7908" w:rsidRPr="00385298" w:rsidTr="004F1538">
        <w:trPr>
          <w:trHeight w:val="382"/>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xml:space="preserve">Подмярка 6.4.2 Инвестиции в подкрепа на неземеделски дейности по Тематичната </w:t>
            </w:r>
            <w:r w:rsidRPr="00385298">
              <w:rPr>
                <w:rFonts w:ascii="Times New Roman" w:eastAsia="Times New Roman" w:hAnsi="Times New Roman" w:cs="Times New Roman"/>
                <w:i/>
                <w:iCs/>
                <w:color w:val="000000"/>
                <w:sz w:val="24"/>
                <w:szCs w:val="24"/>
                <w:lang w:val="bg-BG"/>
              </w:rPr>
              <w:lastRenderedPageBreak/>
              <w:t>подпрограма за развитието на малки стопанства(ТПП)</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lastRenderedPageBreak/>
              <w:t>5 257 548</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-4 468 916</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-5 257 548</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0</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7.3. Широколентова инфраструктура, включително нейното създаване, подобрение и разширяване.</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42 000 000</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-35 700 000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-42 000 000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0</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8.1. Залесяване и поддръжка</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1 631 112</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-640 000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-853 333</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777 779</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xml:space="preserve">Подмярка 8.3. Предотвратяване на щети  </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20 474 302</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-3 130 000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-3 682 353</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16 791 949</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8.6. Инвестиции в преработката, мобилизирането и търговията на горски продукти</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18 500 000</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-1 050 000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-1 235 294</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17 264 706</w:t>
            </w:r>
          </w:p>
        </w:tc>
      </w:tr>
      <w:tr w:rsidR="002D7908" w:rsidRPr="00385298" w:rsidTr="004F1538">
        <w:trPr>
          <w:trHeight w:val="195"/>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9 - Учредяване на групи и организации на производителите</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9 316 503</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-2 500 000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-2 777 778</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6 538 725</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10 - Агроекология и климат</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282 384 616</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-7 000 000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-9 333 333</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273 051 283</w:t>
            </w:r>
          </w:p>
        </w:tc>
      </w:tr>
      <w:tr w:rsidR="002D7908" w:rsidRPr="00385298" w:rsidTr="004F1538">
        <w:trPr>
          <w:trHeight w:val="189"/>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11-Биологично земеделие</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233 943 439</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-15 000 000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-20 000 000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213 943 439</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12 - Плащания по „Натура-2000” и Рамковата директива  за водите</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204 676 037</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-4 800 000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-6 400 000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198 276 037</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14 - Хуманно отношение към животните</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24 802 125</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-2 100 000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-2 470 588</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22 331 536</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16 - Сътрудничество</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28 000 000</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-13 488 000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-14 986 667</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13 013 333</w:t>
            </w:r>
          </w:p>
        </w:tc>
      </w:tr>
      <w:tr w:rsidR="000B1A10" w:rsidRPr="00385298" w:rsidTr="004F1538">
        <w:trPr>
          <w:trHeight w:val="75"/>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16.1. Оперативни групи в рамките на ЕПИ.</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26 680 000</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-12 549 000</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-13 943 333</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12 736 667</w:t>
            </w:r>
          </w:p>
        </w:tc>
      </w:tr>
      <w:tr w:rsidR="000B1A10" w:rsidRPr="00385298" w:rsidTr="004F1538">
        <w:trPr>
          <w:trHeight w:val="305"/>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16.4. Сътрудничество между участниците във веригата на доставки.</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1 320 000</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-939 000</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-1 043 333</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276 667</w:t>
            </w:r>
          </w:p>
        </w:tc>
      </w:tr>
      <w:tr w:rsidR="002D7908" w:rsidRPr="00385298" w:rsidTr="004F1538">
        <w:trPr>
          <w:trHeight w:val="211"/>
        </w:trPr>
        <w:tc>
          <w:tcPr>
            <w:tcW w:w="1725" w:type="pct"/>
            <w:tcBorders>
              <w:top w:val="nil"/>
              <w:left w:val="single" w:sz="4" w:space="0" w:color="auto"/>
              <w:bottom w:val="single" w:sz="4" w:space="0" w:color="auto"/>
              <w:right w:val="nil"/>
            </w:tcBorders>
            <w:shd w:val="clear" w:color="000000" w:fill="DDEBF7"/>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Общо изведени средства (без преразпределението вътре в подмерки)</w:t>
            </w:r>
          </w:p>
        </w:tc>
        <w:tc>
          <w:tcPr>
            <w:tcW w:w="640" w:type="pct"/>
            <w:tcBorders>
              <w:top w:val="nil"/>
              <w:left w:val="single" w:sz="4" w:space="0" w:color="auto"/>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 xml:space="preserve"> </w:t>
            </w:r>
          </w:p>
        </w:tc>
        <w:tc>
          <w:tcPr>
            <w:tcW w:w="57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6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-123 006 916</w:t>
            </w:r>
          </w:p>
        </w:tc>
        <w:tc>
          <w:tcPr>
            <w:tcW w:w="467"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-146 716 502</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 </w:t>
            </w:r>
          </w:p>
        </w:tc>
      </w:tr>
      <w:tr w:rsidR="000B1A10" w:rsidRPr="00385298" w:rsidTr="004F1538">
        <w:trPr>
          <w:trHeight w:val="118"/>
        </w:trPr>
        <w:tc>
          <w:tcPr>
            <w:tcW w:w="5000" w:type="pct"/>
            <w:gridSpan w:val="7"/>
            <w:tcBorders>
              <w:top w:val="single" w:sz="4" w:space="0" w:color="auto"/>
              <w:left w:val="single" w:sz="4" w:space="0" w:color="auto"/>
              <w:bottom w:val="single" w:sz="4" w:space="0" w:color="auto"/>
              <w:right w:val="nil"/>
            </w:tcBorders>
            <w:shd w:val="clear" w:color="000000" w:fill="DDEBF7"/>
            <w:vAlign w:val="bottom"/>
            <w:hideMark/>
          </w:tcPr>
          <w:p w:rsidR="000B1A10" w:rsidRPr="00385298" w:rsidRDefault="000B1A10" w:rsidP="000B1A10">
            <w:pPr>
              <w:spacing w:after="0" w:line="240" w:lineRule="auto"/>
              <w:jc w:val="center"/>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II.  Добавяне на средства</w:t>
            </w:r>
          </w:p>
        </w:tc>
      </w:tr>
      <w:tr w:rsidR="002D7908" w:rsidRPr="00385298" w:rsidTr="004F1538">
        <w:trPr>
          <w:trHeight w:val="29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Подмярка 4.3 Инвестиции в инфраструктура</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60 465 860</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15 000 000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20 000 000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80 465 860</w:t>
            </w:r>
          </w:p>
        </w:tc>
      </w:tr>
      <w:tr w:rsidR="002D7908" w:rsidRPr="00385298" w:rsidTr="004F1538">
        <w:trPr>
          <w:trHeight w:val="127"/>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Подмярка 7.2. Създаването, подобряването или разширяването на малка по мащаби инфраструктура.</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620 295 322</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85 378 921</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100 445 789</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737 362 282</w:t>
            </w:r>
          </w:p>
        </w:tc>
      </w:tr>
      <w:tr w:rsidR="000B1A10" w:rsidRPr="00385298" w:rsidTr="004F1538">
        <w:trPr>
          <w:trHeight w:val="174"/>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xml:space="preserve">Подмярка 7.2. Инвестиции в създаването, подобряването или разширяването на всички видове малка по мащаби инфраструктура - за Решение МС № 437 от 5 юли 2022 </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70 928 921</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83 445 789</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 </w:t>
            </w:r>
          </w:p>
        </w:tc>
      </w:tr>
      <w:tr w:rsidR="000B1A10" w:rsidRPr="00385298" w:rsidTr="004F1538">
        <w:trPr>
          <w:trHeight w:val="183"/>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xml:space="preserve">Подмярка 7.2. Инвестиции в създаването, подобряването или разширяването на всички </w:t>
            </w:r>
            <w:r w:rsidRPr="00385298">
              <w:rPr>
                <w:rFonts w:ascii="Times New Roman" w:eastAsia="Times New Roman" w:hAnsi="Times New Roman" w:cs="Times New Roman"/>
                <w:i/>
                <w:iCs/>
                <w:sz w:val="24"/>
                <w:szCs w:val="24"/>
                <w:lang w:val="bg-BG"/>
              </w:rPr>
              <w:lastRenderedPageBreak/>
              <w:t>видове малка по мащаби инфраструктура - за наводнения и индексация</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lastRenderedPageBreak/>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14 450 000</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17 000 000</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 </w:t>
            </w:r>
          </w:p>
        </w:tc>
      </w:tr>
      <w:tr w:rsidR="002D7908" w:rsidRPr="00385298" w:rsidTr="004F1538">
        <w:trPr>
          <w:trHeight w:val="190"/>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Мярка 20 - Техническа помощ</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55 477 734</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 </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8 500 000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10 000 000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65 477 734</w:t>
            </w:r>
          </w:p>
        </w:tc>
      </w:tr>
      <w:tr w:rsidR="002D7908" w:rsidRPr="00385298" w:rsidTr="004F1538">
        <w:trPr>
          <w:trHeight w:val="300"/>
        </w:trPr>
        <w:tc>
          <w:tcPr>
            <w:tcW w:w="1725" w:type="pct"/>
            <w:tcBorders>
              <w:top w:val="nil"/>
              <w:left w:val="single" w:sz="4" w:space="0" w:color="auto"/>
              <w:bottom w:val="single" w:sz="4" w:space="0" w:color="auto"/>
              <w:right w:val="nil"/>
            </w:tcBorders>
            <w:shd w:val="clear" w:color="000000" w:fill="DDEBF7"/>
            <w:vAlign w:val="bottom"/>
            <w:hideMark/>
          </w:tcPr>
          <w:p w:rsidR="000B1A10" w:rsidRPr="00385298" w:rsidRDefault="000B1A10" w:rsidP="000B1A10">
            <w:pPr>
              <w:spacing w:after="0" w:line="240" w:lineRule="auto"/>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Общо добавени средства (без преразпределението вътре в подмерки)</w:t>
            </w:r>
          </w:p>
        </w:tc>
        <w:tc>
          <w:tcPr>
            <w:tcW w:w="640" w:type="pct"/>
            <w:tcBorders>
              <w:top w:val="nil"/>
              <w:left w:val="single" w:sz="4" w:space="0" w:color="auto"/>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 </w:t>
            </w:r>
          </w:p>
        </w:tc>
        <w:tc>
          <w:tcPr>
            <w:tcW w:w="57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0</w:t>
            </w:r>
          </w:p>
        </w:tc>
        <w:tc>
          <w:tcPr>
            <w:tcW w:w="56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0</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108 878 921</w:t>
            </w:r>
          </w:p>
        </w:tc>
        <w:tc>
          <w:tcPr>
            <w:tcW w:w="467"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130 445 789</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 </w:t>
            </w:r>
          </w:p>
        </w:tc>
      </w:tr>
      <w:tr w:rsidR="000B1A10" w:rsidRPr="00385298" w:rsidTr="004F1538">
        <w:trPr>
          <w:trHeight w:val="53"/>
        </w:trPr>
        <w:tc>
          <w:tcPr>
            <w:tcW w:w="5000" w:type="pct"/>
            <w:gridSpan w:val="7"/>
            <w:tcBorders>
              <w:top w:val="single" w:sz="4" w:space="0" w:color="auto"/>
              <w:left w:val="single" w:sz="4" w:space="0" w:color="auto"/>
              <w:bottom w:val="single" w:sz="4" w:space="0" w:color="auto"/>
              <w:right w:val="nil"/>
            </w:tcBorders>
            <w:shd w:val="clear" w:color="000000" w:fill="DDEBF7"/>
            <w:vAlign w:val="bottom"/>
            <w:hideMark/>
          </w:tcPr>
          <w:p w:rsidR="000B1A10" w:rsidRPr="00385298" w:rsidRDefault="000B1A10" w:rsidP="000B1A10">
            <w:pPr>
              <w:spacing w:after="0" w:line="240" w:lineRule="auto"/>
              <w:jc w:val="center"/>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III.  Преразпределяне вътре в подмерки, между фокус области</w:t>
            </w:r>
          </w:p>
        </w:tc>
      </w:tr>
      <w:tr w:rsidR="002D7908" w:rsidRPr="00385298" w:rsidTr="004F1538">
        <w:trPr>
          <w:trHeight w:val="6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Мярка 2 Консултантски услуги,управление на стопанството и услуги по заместване в стопанството</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20 828 609</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20 828 609</w:t>
            </w:r>
          </w:p>
        </w:tc>
      </w:tr>
      <w:tr w:rsidR="000B1A10" w:rsidRPr="00385298" w:rsidTr="004F1538">
        <w:trPr>
          <w:trHeight w:val="253"/>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2.1.1. Консултантски услуги за земеделски и горски стопани</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3 254 532</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-535 102</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-629 532</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2 625 000</w:t>
            </w:r>
          </w:p>
        </w:tc>
      </w:tr>
      <w:tr w:rsidR="000B1A10" w:rsidRPr="00385298" w:rsidTr="004F1538">
        <w:trPr>
          <w:trHeight w:val="145"/>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2.1.2 Консултантски услуги за малки земеделски стопани(TПП)</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11 574 078</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1 109 978</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1 305 857</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12 879 935</w:t>
            </w:r>
          </w:p>
        </w:tc>
      </w:tr>
      <w:tr w:rsidR="000B1A10" w:rsidRPr="00385298" w:rsidTr="004F1538">
        <w:trPr>
          <w:trHeight w:val="193"/>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2.2 Създаване на консултантски услуги(ТПП)</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6 000 000</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-574 877</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-676 326</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5 323 674</w:t>
            </w:r>
          </w:p>
        </w:tc>
      </w:tr>
      <w:tr w:rsidR="002D7908" w:rsidRPr="00385298" w:rsidTr="004F1538">
        <w:trPr>
          <w:trHeight w:val="53"/>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4.1 Инвестиции в земеделски стопанства</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632 757 453</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-4 274 967</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628 482 486</w:t>
            </w:r>
          </w:p>
        </w:tc>
      </w:tr>
      <w:tr w:rsidR="000B1A10" w:rsidRPr="00385298" w:rsidTr="004F1538">
        <w:trPr>
          <w:trHeight w:val="85"/>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Извеждане в рамките на подмярка 4.1 от ФО 2Б,5Б</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-63 152 193</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-74 177 997</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xml:space="preserve"> </w:t>
            </w:r>
          </w:p>
        </w:tc>
      </w:tr>
      <w:tr w:rsidR="000B1A10" w:rsidRPr="00385298" w:rsidTr="004F1538">
        <w:trPr>
          <w:trHeight w:val="53"/>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Добавяне в рамките на подмярка 4.1 във ФО 2А, П4, 5А</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63 152 193</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69 903 031</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xml:space="preserve"> </w:t>
            </w:r>
          </w:p>
        </w:tc>
      </w:tr>
      <w:tr w:rsidR="002D7908" w:rsidRPr="00385298" w:rsidTr="004F1538">
        <w:trPr>
          <w:trHeight w:val="261"/>
        </w:trPr>
        <w:tc>
          <w:tcPr>
            <w:tcW w:w="1725" w:type="pct"/>
            <w:tcBorders>
              <w:top w:val="nil"/>
              <w:left w:val="single" w:sz="4" w:space="0" w:color="auto"/>
              <w:bottom w:val="single" w:sz="4" w:space="0" w:color="auto"/>
              <w:right w:val="single" w:sz="4" w:space="0" w:color="auto"/>
            </w:tcBorders>
            <w:shd w:val="clear" w:color="000000" w:fill="EDEDED"/>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7.2. Създаването, подобряването или разширяването на малка по мащаби инфраструктура.</w:t>
            </w:r>
          </w:p>
        </w:tc>
        <w:tc>
          <w:tcPr>
            <w:tcW w:w="640"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620 295 322</w:t>
            </w:r>
          </w:p>
        </w:tc>
        <w:tc>
          <w:tcPr>
            <w:tcW w:w="57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14 127 995</w:t>
            </w:r>
          </w:p>
        </w:tc>
        <w:tc>
          <w:tcPr>
            <w:tcW w:w="565"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16 621 171</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467"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0</w:t>
            </w:r>
          </w:p>
        </w:tc>
        <w:tc>
          <w:tcPr>
            <w:tcW w:w="514" w:type="pct"/>
            <w:tcBorders>
              <w:top w:val="nil"/>
              <w:left w:val="nil"/>
              <w:bottom w:val="single" w:sz="4" w:space="0" w:color="auto"/>
              <w:right w:val="single" w:sz="4" w:space="0" w:color="auto"/>
            </w:tcBorders>
            <w:shd w:val="clear" w:color="000000" w:fill="EDEDED"/>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620 295 322</w:t>
            </w:r>
          </w:p>
        </w:tc>
      </w:tr>
      <w:tr w:rsidR="000B1A10" w:rsidRPr="00385298" w:rsidTr="004F1538">
        <w:trPr>
          <w:trHeight w:val="308"/>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7.2. Инвестиции в създаването, подобряването или разширяването на всички видове малка по мащаби инфраструктура.- ФО 5В</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-46 750 000</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-55 000 000</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w:t>
            </w:r>
          </w:p>
        </w:tc>
      </w:tr>
      <w:tr w:rsidR="000B1A10" w:rsidRPr="00385298" w:rsidTr="004F1538">
        <w:trPr>
          <w:trHeight w:val="175"/>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Подмярка 7.2. Инвестиции в създаването, подобряването или разширяването на всички видове малка по мащаби инфраструктура. ФО 6В</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46 750 000</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55 000 000</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w:t>
            </w:r>
          </w:p>
        </w:tc>
      </w:tr>
      <w:tr w:rsidR="000B1A10" w:rsidRPr="00385298" w:rsidTr="004F1538">
        <w:trPr>
          <w:trHeight w:val="53"/>
        </w:trPr>
        <w:tc>
          <w:tcPr>
            <w:tcW w:w="1725" w:type="pct"/>
            <w:tcBorders>
              <w:top w:val="nil"/>
              <w:left w:val="single" w:sz="4" w:space="0" w:color="auto"/>
              <w:bottom w:val="single" w:sz="4" w:space="0" w:color="auto"/>
              <w:right w:val="single" w:sz="4" w:space="0" w:color="auto"/>
            </w:tcBorders>
            <w:shd w:val="clear" w:color="auto" w:fill="auto"/>
            <w:vAlign w:val="bottom"/>
            <w:hideMark/>
          </w:tcPr>
          <w:p w:rsidR="000B1A10" w:rsidRPr="00385298" w:rsidRDefault="000B1A10" w:rsidP="000B1A10">
            <w:pPr>
              <w:spacing w:after="0" w:line="240" w:lineRule="auto"/>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Подмярка 7.2. Инвестиции в създаването, подобряването или разширяването на всички видове малка по мащаби инфраструктура - за увеличение приема от 150 млн. евро- ФО 5В</w:t>
            </w:r>
          </w:p>
        </w:tc>
        <w:tc>
          <w:tcPr>
            <w:tcW w:w="640"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i/>
                <w:iCs/>
                <w:color w:val="FF0000"/>
                <w:sz w:val="24"/>
                <w:szCs w:val="24"/>
                <w:lang w:val="bg-BG"/>
              </w:rPr>
            </w:pPr>
            <w:r w:rsidRPr="00385298">
              <w:rPr>
                <w:rFonts w:ascii="Times New Roman" w:eastAsia="Times New Roman" w:hAnsi="Times New Roman" w:cs="Times New Roman"/>
                <w:b/>
                <w:bCs/>
                <w:i/>
                <w:iCs/>
                <w:color w:val="FF0000"/>
                <w:sz w:val="24"/>
                <w:szCs w:val="24"/>
                <w:lang w:val="bg-BG"/>
              </w:rPr>
              <w:t> </w:t>
            </w:r>
          </w:p>
        </w:tc>
        <w:tc>
          <w:tcPr>
            <w:tcW w:w="57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14 127 995</w:t>
            </w:r>
          </w:p>
        </w:tc>
        <w:tc>
          <w:tcPr>
            <w:tcW w:w="565"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i/>
                <w:iCs/>
                <w:color w:val="FF0000"/>
                <w:sz w:val="24"/>
                <w:szCs w:val="24"/>
                <w:lang w:val="bg-BG"/>
              </w:rPr>
            </w:pPr>
            <w:r w:rsidRPr="00385298">
              <w:rPr>
                <w:rFonts w:ascii="Times New Roman" w:eastAsia="Times New Roman" w:hAnsi="Times New Roman" w:cs="Times New Roman"/>
                <w:b/>
                <w:i/>
                <w:iCs/>
                <w:color w:val="FF0000"/>
                <w:sz w:val="24"/>
                <w:szCs w:val="24"/>
                <w:lang w:val="bg-BG"/>
              </w:rPr>
              <w:t>16 621 171</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467"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 </w:t>
            </w:r>
          </w:p>
        </w:tc>
        <w:tc>
          <w:tcPr>
            <w:tcW w:w="514" w:type="pct"/>
            <w:tcBorders>
              <w:top w:val="nil"/>
              <w:left w:val="nil"/>
              <w:bottom w:val="single" w:sz="4" w:space="0" w:color="auto"/>
              <w:right w:val="single" w:sz="4" w:space="0" w:color="auto"/>
            </w:tcBorders>
            <w:shd w:val="clear" w:color="auto" w:fill="auto"/>
            <w:noWrap/>
            <w:vAlign w:val="bottom"/>
            <w:hideMark/>
          </w:tcPr>
          <w:p w:rsidR="000B1A10" w:rsidRPr="00385298" w:rsidRDefault="000B1A10" w:rsidP="000B1A10">
            <w:pPr>
              <w:spacing w:after="0" w:line="240" w:lineRule="auto"/>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 </w:t>
            </w:r>
          </w:p>
        </w:tc>
      </w:tr>
      <w:tr w:rsidR="002D7908" w:rsidRPr="00385298" w:rsidTr="004F1538">
        <w:trPr>
          <w:trHeight w:val="300"/>
        </w:trPr>
        <w:tc>
          <w:tcPr>
            <w:tcW w:w="1725" w:type="pct"/>
            <w:tcBorders>
              <w:top w:val="nil"/>
              <w:left w:val="single" w:sz="4" w:space="0" w:color="auto"/>
              <w:bottom w:val="single" w:sz="4" w:space="0" w:color="auto"/>
              <w:right w:val="nil"/>
            </w:tcBorders>
            <w:shd w:val="clear" w:color="000000" w:fill="DDEBF7"/>
            <w:vAlign w:val="bottom"/>
            <w:hideMark/>
          </w:tcPr>
          <w:p w:rsidR="000B1A10" w:rsidRPr="00385298" w:rsidRDefault="000B1A10" w:rsidP="000B1A10">
            <w:pPr>
              <w:spacing w:after="0" w:line="240" w:lineRule="auto"/>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lastRenderedPageBreak/>
              <w:t>Общо баланс  - изведени средства(-)/добавени средства ()</w:t>
            </w:r>
          </w:p>
        </w:tc>
        <w:tc>
          <w:tcPr>
            <w:tcW w:w="640" w:type="pct"/>
            <w:tcBorders>
              <w:top w:val="nil"/>
              <w:left w:val="single" w:sz="4" w:space="0" w:color="auto"/>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b/>
                <w:bCs/>
                <w:i/>
                <w:iCs/>
                <w:color w:val="000000"/>
                <w:sz w:val="24"/>
                <w:szCs w:val="24"/>
                <w:lang w:val="bg-BG"/>
              </w:rPr>
            </w:pPr>
            <w:r w:rsidRPr="00385298">
              <w:rPr>
                <w:rFonts w:ascii="Times New Roman" w:eastAsia="Times New Roman" w:hAnsi="Times New Roman" w:cs="Times New Roman"/>
                <w:b/>
                <w:bCs/>
                <w:i/>
                <w:iCs/>
                <w:color w:val="000000"/>
                <w:sz w:val="24"/>
                <w:szCs w:val="24"/>
                <w:lang w:val="bg-BG"/>
              </w:rPr>
              <w:t> </w:t>
            </w:r>
          </w:p>
        </w:tc>
        <w:tc>
          <w:tcPr>
            <w:tcW w:w="57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14 127 995</w:t>
            </w:r>
          </w:p>
        </w:tc>
        <w:tc>
          <w:tcPr>
            <w:tcW w:w="56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12 346 203</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-14 127 995</w:t>
            </w:r>
          </w:p>
        </w:tc>
        <w:tc>
          <w:tcPr>
            <w:tcW w:w="467"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-16 270 713</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color w:val="000000"/>
                <w:sz w:val="24"/>
                <w:szCs w:val="24"/>
                <w:lang w:val="bg-BG"/>
              </w:rPr>
            </w:pPr>
            <w:r w:rsidRPr="00385298">
              <w:rPr>
                <w:rFonts w:ascii="Times New Roman" w:eastAsia="Times New Roman" w:hAnsi="Times New Roman" w:cs="Times New Roman"/>
                <w:b/>
                <w:bCs/>
                <w:color w:val="000000"/>
                <w:sz w:val="24"/>
                <w:szCs w:val="24"/>
                <w:lang w:val="bg-BG"/>
              </w:rPr>
              <w:t>-3 924 510</w:t>
            </w:r>
          </w:p>
        </w:tc>
      </w:tr>
      <w:tr w:rsidR="002D7908" w:rsidRPr="00385298" w:rsidTr="004F1538">
        <w:trPr>
          <w:trHeight w:val="315"/>
        </w:trPr>
        <w:tc>
          <w:tcPr>
            <w:tcW w:w="1725" w:type="pct"/>
            <w:tcBorders>
              <w:top w:val="nil"/>
              <w:left w:val="single" w:sz="4" w:space="0" w:color="auto"/>
              <w:bottom w:val="single" w:sz="4" w:space="0" w:color="auto"/>
              <w:right w:val="nil"/>
            </w:tcBorders>
            <w:shd w:val="clear" w:color="000000" w:fill="DDEBF7"/>
            <w:noWrap/>
            <w:vAlign w:val="bottom"/>
            <w:hideMark/>
          </w:tcPr>
          <w:p w:rsidR="000B1A10" w:rsidRPr="00385298" w:rsidRDefault="000B1A10" w:rsidP="000B1A10">
            <w:pPr>
              <w:spacing w:after="0" w:line="240" w:lineRule="auto"/>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Общо</w:t>
            </w:r>
          </w:p>
        </w:tc>
        <w:tc>
          <w:tcPr>
            <w:tcW w:w="640" w:type="pct"/>
            <w:tcBorders>
              <w:top w:val="nil"/>
              <w:left w:val="single" w:sz="4" w:space="0" w:color="auto"/>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i/>
                <w:iCs/>
                <w:sz w:val="24"/>
                <w:szCs w:val="24"/>
                <w:lang w:val="bg-BG"/>
              </w:rPr>
            </w:pPr>
            <w:r w:rsidRPr="00385298">
              <w:rPr>
                <w:rFonts w:ascii="Times New Roman" w:eastAsia="Times New Roman" w:hAnsi="Times New Roman" w:cs="Times New Roman"/>
                <w:b/>
                <w:bCs/>
                <w:i/>
                <w:iCs/>
                <w:sz w:val="24"/>
                <w:szCs w:val="24"/>
                <w:lang w:val="bg-BG"/>
              </w:rPr>
              <w:t>2 548 267 631</w:t>
            </w:r>
          </w:p>
        </w:tc>
        <w:tc>
          <w:tcPr>
            <w:tcW w:w="57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14 127 995</w:t>
            </w:r>
          </w:p>
        </w:tc>
        <w:tc>
          <w:tcPr>
            <w:tcW w:w="565"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12 346 203</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-14 127 995</w:t>
            </w:r>
          </w:p>
        </w:tc>
        <w:tc>
          <w:tcPr>
            <w:tcW w:w="467"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sz w:val="24"/>
                <w:szCs w:val="24"/>
                <w:lang w:val="bg-BG"/>
              </w:rPr>
            </w:pPr>
            <w:r w:rsidRPr="00385298">
              <w:rPr>
                <w:rFonts w:ascii="Times New Roman" w:eastAsia="Times New Roman" w:hAnsi="Times New Roman" w:cs="Times New Roman"/>
                <w:i/>
                <w:iCs/>
                <w:sz w:val="24"/>
                <w:szCs w:val="24"/>
                <w:lang w:val="bg-BG"/>
              </w:rPr>
              <w:t>-16 270 713</w:t>
            </w:r>
          </w:p>
        </w:tc>
        <w:tc>
          <w:tcPr>
            <w:tcW w:w="514" w:type="pct"/>
            <w:tcBorders>
              <w:top w:val="nil"/>
              <w:left w:val="nil"/>
              <w:bottom w:val="single" w:sz="4" w:space="0" w:color="auto"/>
              <w:right w:val="single" w:sz="4" w:space="0" w:color="auto"/>
            </w:tcBorders>
            <w:shd w:val="clear" w:color="000000" w:fill="DDEBF7"/>
            <w:noWrap/>
            <w:vAlign w:val="bottom"/>
            <w:hideMark/>
          </w:tcPr>
          <w:p w:rsidR="000B1A10" w:rsidRPr="00385298" w:rsidRDefault="000B1A10" w:rsidP="000B1A10">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2 544 343 121</w:t>
            </w:r>
          </w:p>
        </w:tc>
      </w:tr>
      <w:tr w:rsidR="002D7908" w:rsidRPr="00385298" w:rsidTr="004F1538">
        <w:trPr>
          <w:trHeight w:val="315"/>
        </w:trPr>
        <w:tc>
          <w:tcPr>
            <w:tcW w:w="1725" w:type="pct"/>
            <w:tcBorders>
              <w:top w:val="single" w:sz="4" w:space="0" w:color="auto"/>
              <w:left w:val="single" w:sz="4" w:space="0" w:color="auto"/>
              <w:bottom w:val="single" w:sz="4" w:space="0" w:color="auto"/>
              <w:right w:val="nil"/>
            </w:tcBorders>
            <w:shd w:val="clear" w:color="000000" w:fill="E2EFDA"/>
            <w:noWrap/>
            <w:vAlign w:val="bottom"/>
            <w:hideMark/>
          </w:tcPr>
          <w:p w:rsidR="000B1A10" w:rsidRPr="00385298" w:rsidRDefault="000B1A10" w:rsidP="000B1A10">
            <w:pPr>
              <w:spacing w:after="0" w:line="240" w:lineRule="auto"/>
              <w:rPr>
                <w:rFonts w:ascii="Times New Roman" w:eastAsia="Times New Roman" w:hAnsi="Times New Roman" w:cs="Times New Roman"/>
                <w:color w:val="000000"/>
                <w:sz w:val="24"/>
                <w:szCs w:val="24"/>
                <w:lang w:val="bg-BG"/>
              </w:rPr>
            </w:pPr>
            <w:r w:rsidRPr="00385298">
              <w:rPr>
                <w:rFonts w:ascii="Times New Roman" w:eastAsia="Times New Roman" w:hAnsi="Times New Roman" w:cs="Times New Roman"/>
                <w:color w:val="000000"/>
                <w:sz w:val="24"/>
                <w:szCs w:val="24"/>
                <w:lang w:val="bg-BG"/>
              </w:rPr>
              <w:t>Общо ПРСР 2014-2020</w:t>
            </w:r>
          </w:p>
        </w:tc>
        <w:tc>
          <w:tcPr>
            <w:tcW w:w="640"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3 793 119 534</w:t>
            </w:r>
          </w:p>
        </w:tc>
        <w:tc>
          <w:tcPr>
            <w:tcW w:w="575" w:type="pct"/>
            <w:tcBorders>
              <w:top w:val="single" w:sz="4" w:space="0" w:color="auto"/>
              <w:left w:val="nil"/>
              <w:bottom w:val="single" w:sz="4" w:space="0" w:color="auto"/>
              <w:right w:val="single" w:sz="4" w:space="0" w:color="auto"/>
            </w:tcBorders>
            <w:shd w:val="clear" w:color="000000" w:fill="E2EFDA"/>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14 127 995</w:t>
            </w:r>
          </w:p>
        </w:tc>
        <w:tc>
          <w:tcPr>
            <w:tcW w:w="565" w:type="pct"/>
            <w:tcBorders>
              <w:top w:val="single" w:sz="4" w:space="0" w:color="auto"/>
              <w:left w:val="nil"/>
              <w:bottom w:val="single" w:sz="4" w:space="0" w:color="auto"/>
              <w:right w:val="single" w:sz="4" w:space="0" w:color="auto"/>
            </w:tcBorders>
            <w:shd w:val="clear" w:color="000000" w:fill="E2EFDA"/>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12 346 203</w:t>
            </w:r>
          </w:p>
        </w:tc>
        <w:tc>
          <w:tcPr>
            <w:tcW w:w="514" w:type="pct"/>
            <w:tcBorders>
              <w:top w:val="single" w:sz="4" w:space="0" w:color="auto"/>
              <w:left w:val="nil"/>
              <w:bottom w:val="single" w:sz="4" w:space="0" w:color="auto"/>
              <w:right w:val="single" w:sz="4" w:space="0" w:color="auto"/>
            </w:tcBorders>
            <w:shd w:val="clear" w:color="000000" w:fill="E2EFDA"/>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-14 127 995</w:t>
            </w:r>
          </w:p>
        </w:tc>
        <w:tc>
          <w:tcPr>
            <w:tcW w:w="467" w:type="pct"/>
            <w:tcBorders>
              <w:top w:val="single" w:sz="4" w:space="0" w:color="auto"/>
              <w:left w:val="nil"/>
              <w:bottom w:val="single" w:sz="4" w:space="0" w:color="auto"/>
              <w:right w:val="single" w:sz="4" w:space="0" w:color="auto"/>
            </w:tcBorders>
            <w:shd w:val="clear" w:color="000000" w:fill="E2EFDA"/>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-16 270 713</w:t>
            </w:r>
          </w:p>
        </w:tc>
        <w:tc>
          <w:tcPr>
            <w:tcW w:w="514" w:type="pct"/>
            <w:tcBorders>
              <w:top w:val="single" w:sz="4" w:space="0" w:color="auto"/>
              <w:left w:val="nil"/>
              <w:bottom w:val="single" w:sz="4" w:space="0" w:color="auto"/>
              <w:right w:val="single" w:sz="4" w:space="0" w:color="auto"/>
            </w:tcBorders>
            <w:shd w:val="clear" w:color="000000" w:fill="E2EFDA"/>
            <w:noWrap/>
            <w:vAlign w:val="bottom"/>
            <w:hideMark/>
          </w:tcPr>
          <w:p w:rsidR="000B1A10" w:rsidRPr="00385298" w:rsidRDefault="000B1A10" w:rsidP="000B1A10">
            <w:pPr>
              <w:spacing w:after="0" w:line="240" w:lineRule="auto"/>
              <w:jc w:val="right"/>
              <w:rPr>
                <w:rFonts w:ascii="Times New Roman" w:eastAsia="Times New Roman" w:hAnsi="Times New Roman" w:cs="Times New Roman"/>
                <w:i/>
                <w:iCs/>
                <w:color w:val="000000"/>
                <w:sz w:val="24"/>
                <w:szCs w:val="24"/>
                <w:lang w:val="bg-BG"/>
              </w:rPr>
            </w:pPr>
            <w:r w:rsidRPr="00385298">
              <w:rPr>
                <w:rFonts w:ascii="Times New Roman" w:eastAsia="Times New Roman" w:hAnsi="Times New Roman" w:cs="Times New Roman"/>
                <w:i/>
                <w:iCs/>
                <w:color w:val="000000"/>
                <w:sz w:val="24"/>
                <w:szCs w:val="24"/>
                <w:lang w:val="bg-BG"/>
              </w:rPr>
              <w:t>3 789 195 024</w:t>
            </w:r>
          </w:p>
        </w:tc>
      </w:tr>
    </w:tbl>
    <w:p w:rsidR="000B1A10" w:rsidRPr="00385298" w:rsidRDefault="000B1A10" w:rsidP="000B1A10">
      <w:pPr>
        <w:jc w:val="both"/>
        <w:rPr>
          <w:rFonts w:ascii="Times New Roman" w:hAnsi="Times New Roman" w:cs="Times New Roman"/>
          <w:sz w:val="24"/>
          <w:szCs w:val="24"/>
          <w:lang w:val="bg-BG"/>
        </w:rPr>
      </w:pPr>
    </w:p>
    <w:p w:rsidR="003B163C" w:rsidRPr="00385298" w:rsidRDefault="003B163C" w:rsidP="003B163C">
      <w:pPr>
        <w:ind w:left="-284"/>
        <w:jc w:val="both"/>
        <w:rPr>
          <w:rFonts w:ascii="Times New Roman" w:hAnsi="Times New Roman" w:cs="Times New Roman"/>
          <w:sz w:val="24"/>
          <w:szCs w:val="24"/>
          <w:lang w:val="bg-BG"/>
        </w:rPr>
      </w:pPr>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По-долу е представена детайлна обосновка на предлаганите промени.</w:t>
      </w:r>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3" w:name="_Toc131579024"/>
      <w:r w:rsidRPr="00385298">
        <w:rPr>
          <w:rFonts w:ascii="Times New Roman" w:eastAsia="Times New Roman" w:hAnsi="Times New Roman" w:cs="Times New Roman"/>
          <w:b/>
          <w:sz w:val="24"/>
          <w:szCs w:val="24"/>
          <w:lang w:val="bg-BG"/>
        </w:rPr>
        <w:t>Извеждане на средства с цел осигуряване на ресурс</w:t>
      </w:r>
      <w:bookmarkEnd w:id="3"/>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4" w:name="_Toc131579025"/>
      <w:r w:rsidRPr="00385298">
        <w:rPr>
          <w:rFonts w:ascii="Times New Roman" w:eastAsia="Times New Roman" w:hAnsi="Times New Roman" w:cs="Times New Roman"/>
          <w:b/>
          <w:sz w:val="24"/>
          <w:szCs w:val="24"/>
          <w:lang w:val="bg-BG"/>
        </w:rPr>
        <w:t>Извеждане на средства от мярка 1 „Трансфер на знания и действия за осведомяване“</w:t>
      </w:r>
      <w:bookmarkEnd w:id="4"/>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Мярката допринася основно към реализирането на приоритетни области 1А, 1Б и1В. На основата на определените нужди мярката допринася чрез съответните подмерки и дейности за приоритетни области 2А, 2Б, 3А, 3Б, 4А, 4Б, 4В, 5А, 5Б, 5В, 5Г и 5Д по-конкретно чрез предвидените дейности по подмярка 1.1 „Подкрепа за дейности за професионално обучение и придобиване на умения“, и подмярка 1.2 „Подпомагане за демонстрационни дейности и действия за осведомяване“.</w:t>
      </w:r>
    </w:p>
    <w:p w:rsidR="003B163C" w:rsidRPr="00385298" w:rsidRDefault="003B163C" w:rsidP="003B163C">
      <w:pPr>
        <w:spacing w:before="120" w:after="120" w:line="240" w:lineRule="auto"/>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Подмярка 1.2 „Демонстрационни дейности“</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Подмярката предоставя възможност за провеждане на практически информационни занятия по определена тема с цел придобиване на информация и запознаване в реални практически условия на земеделските и горски стопани и заетите лица в техните стопанства с: представяне на технологии и специализирана техника за извършване на различни земеделски дейности, като обработване на почвата, прибиране на реколтата, напояване, торене, използване на препарати за растителна защита; техники, методи и оборудване за определяне на качеството на продукцията; нови сортове (хибриди) растения или подобрена порода животни; специални практики, техники и технологии или съоръжения. </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Допустимите бенефициенти съгласно одобрената ПРСР 2014-2020 г. са висши учебни заведения, предоставящи обучение в сферата на селското стопанство, институти и опитни станции от структурите на селскостопанска академия (ССА) и Българска академия на науките (БАН) и професионални гимназии в сферата на горското и селското стопанство.</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Макар и на един по-късен етап тази дългоочаквана подмярка бе стартирана с провеждане на прием на проектни предложения в периода 18 юли – 30 октомври 2022 г. </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Със съдействието на Национална селска мрежа, Национална служба за съвети в земеделието и медии в сферата на селското стопанство, Министерство на земеделието проведе информационна кампания, за което свидетелстват множеството публикации в интернет пространството, имаща за цел да провокира интереса на потенциалните кандидати. Бе проведено и информационно събитие под формата на кръгла маса със съдействието на НСМ, на което на представителите на науката бяха запознати в детайли с правилата за прилагане на подмярката и целите, които се преследват с нея.</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Въпреки проявения интерес и декларираното желание за участие от страна на заинтересованите страни, в рамките на периода на прием постъпиха общо 14 проектни предложения, подлежащи на обработка, по които е заявен бюджет в размер на около 3.5 млн. евро, при обявен бюджет за приема в размер  на 15 млн. евро (целият наличен бюджет по подмярката). Следва да се отбележи, че във връзка с възможностите предвидени в българското законодателство периода на прием бе удължен с един месец, за да се гарантира, това не е пречка за окомплектоване и подаване на проектните предложения от потенциалните кандидати.</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Средният размер на едно подадено проектно предложение по процедурата е 127 хил. евро заявени разходи, респективно 127 хил. евро заявена БФП (при 100 % интензитет на финансовата помощ) при положение, че максималният размер на допустимите разходи за един проект, представен от един кандидат възлиза на 500 000 евро съгласно насоките.</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Към настоящия момент, в резултат на оценка на постъпилите проектни предложения, общо 13 проекта с одобрен бюджет в размер на около 2.5 млн. евро са преминали успешно етап административно съответствие и допустимост. В кратки срокове предстои финализиране на етап Техническа и финансова оценка и пристъпване към сключване на договори с одобрените кандидати.</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 xml:space="preserve">Предвидените срокове за изпълнение на одобрените проекти са 30 месеца, считано от датата на сключване на договора за предоставяне на БФП, но не по-късно от октомври 2025 г. Следва да се има предвид, че всички бенефициенти са възложители по ЗОП, което от своя страна в повечето случаи налага провеждане на процедури за избор на изпълнители преди реалното стартиране на демонстрациите. </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Една от вероятните основни причини за ниския интерес е необходимостта от префинансиране на одобрените дейности по проектите, като предвид ограничения финансов ресурс, с който научните институти и опитни станции разполагат това вероятно се е оказа основна пречка за кандидатстване и/или заявяване на по-амбициозни цели за демонстрации за повече лица в проектните предложения.</w:t>
      </w:r>
    </w:p>
    <w:p w:rsidR="003B163C" w:rsidRPr="00385298" w:rsidRDefault="003B163C" w:rsidP="003B163C">
      <w:pPr>
        <w:jc w:val="both"/>
        <w:rPr>
          <w:rFonts w:ascii="Times New Roman" w:hAnsi="Times New Roman" w:cs="Times New Roman"/>
          <w:sz w:val="24"/>
          <w:szCs w:val="24"/>
          <w:lang w:val="bg-BG"/>
        </w:rPr>
      </w:pPr>
      <w:r w:rsidRPr="00385298">
        <w:rPr>
          <w:rFonts w:ascii="Times New Roman" w:eastAsia="Times New Roman" w:hAnsi="Times New Roman" w:cs="Times New Roman"/>
          <w:sz w:val="24"/>
          <w:szCs w:val="24"/>
          <w:lang w:val="bg-BG" w:eastAsia="bg-BG"/>
        </w:rPr>
        <w:t>Във връзка с гореизложеното, предвид проведената целенасочена информационна кампания, наличие на предвидена идентична дейност в рамките на интервенция II.И.2. „Професионално обучение и придобиване на знания“ в рамките на СПРЗСР 2023-2027 г., във връзка с времето, необходимо за оценка на проектни предложения и сроковете за изпълнение на одобрените проекти, както и във връзка с оставащото време до края на програмния период, УО на ПРСР счита за целесъобразно финансов ресурс</w:t>
      </w:r>
      <w:r w:rsidRPr="00385298">
        <w:rPr>
          <w:rFonts w:ascii="Times New Roman" w:hAnsi="Times New Roman" w:cs="Times New Roman"/>
          <w:sz w:val="24"/>
          <w:szCs w:val="24"/>
          <w:lang w:val="bg-BG"/>
        </w:rPr>
        <w:t xml:space="preserve"> в размер на </w:t>
      </w:r>
      <w:r w:rsidRPr="00385298">
        <w:rPr>
          <w:rFonts w:ascii="Times New Roman" w:hAnsi="Times New Roman" w:cs="Times New Roman"/>
          <w:b/>
          <w:sz w:val="24"/>
          <w:szCs w:val="24"/>
          <w:lang w:val="bg-BG"/>
        </w:rPr>
        <w:t>7,9 млн. евро ЕЗФРСР</w:t>
      </w:r>
      <w:r w:rsidRPr="00385298">
        <w:rPr>
          <w:rFonts w:ascii="Times New Roman" w:hAnsi="Times New Roman" w:cs="Times New Roman"/>
          <w:sz w:val="24"/>
          <w:szCs w:val="24"/>
          <w:lang w:val="bg-BG"/>
        </w:rPr>
        <w:t xml:space="preserve"> да бъде изведен от бюджета на подмярката и пренасочен в други мерки/подмерки.</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lastRenderedPageBreak/>
        <w:t>Прогнозният остатък общо по мярка 1 „Трансфер на знания и действия за осведомяване“ е приблизително 15 млн. евро публични разходи (Таблица № 7), 8.8 млн. евро които се предвижда да бъдат пренасочени съответно към мерки, допринасящи към Приоритет № 6, или към Техническа помощ на ПРСР 2014-2020 г.</w:t>
      </w:r>
    </w:p>
    <w:p w:rsidR="003B163C" w:rsidRPr="00385298" w:rsidRDefault="003B163C" w:rsidP="003B163C">
      <w:pPr>
        <w:ind w:firstLine="567"/>
        <w:jc w:val="both"/>
        <w:rPr>
          <w:rFonts w:ascii="Times New Roman" w:eastAsia="Times New Roman" w:hAnsi="Times New Roman" w:cs="Times New Roman"/>
          <w:b/>
          <w:sz w:val="24"/>
          <w:szCs w:val="24"/>
          <w:lang w:val="bg-BG" w:eastAsia="bg-BG"/>
        </w:rPr>
      </w:pPr>
    </w:p>
    <w:p w:rsidR="003B163C" w:rsidRPr="00385298" w:rsidRDefault="003B163C" w:rsidP="003B163C">
      <w:pPr>
        <w:ind w:firstLine="567"/>
        <w:jc w:val="both"/>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Таблица 2:</w:t>
      </w:r>
    </w:p>
    <w:tbl>
      <w:tblPr>
        <w:tblW w:w="5496" w:type="pct"/>
        <w:tblInd w:w="-431" w:type="dxa"/>
        <w:tblLook w:val="04A0" w:firstRow="1" w:lastRow="0" w:firstColumn="1" w:lastColumn="0" w:noHBand="0" w:noVBand="1"/>
      </w:tblPr>
      <w:tblGrid>
        <w:gridCol w:w="2448"/>
        <w:gridCol w:w="1204"/>
        <w:gridCol w:w="1204"/>
        <w:gridCol w:w="1040"/>
        <w:gridCol w:w="1276"/>
        <w:gridCol w:w="1205"/>
        <w:gridCol w:w="1205"/>
        <w:gridCol w:w="1205"/>
        <w:gridCol w:w="1040"/>
        <w:gridCol w:w="1205"/>
        <w:gridCol w:w="1205"/>
        <w:gridCol w:w="1301"/>
      </w:tblGrid>
      <w:tr w:rsidR="003B163C" w:rsidRPr="00385298" w:rsidTr="00715566">
        <w:trPr>
          <w:trHeight w:val="780"/>
        </w:trPr>
        <w:tc>
          <w:tcPr>
            <w:tcW w:w="762"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Mярка 1 – „Трансфер на знания и действия за осведомяване“/Фокус област</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2A</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2Б</w:t>
            </w:r>
          </w:p>
        </w:tc>
        <w:tc>
          <w:tcPr>
            <w:tcW w:w="337"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3A</w:t>
            </w:r>
          </w:p>
        </w:tc>
        <w:tc>
          <w:tcPr>
            <w:tcW w:w="413"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3Б</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П4</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5A</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5Б</w:t>
            </w:r>
          </w:p>
        </w:tc>
        <w:tc>
          <w:tcPr>
            <w:tcW w:w="337"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5В</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5Г</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5Д</w:t>
            </w:r>
          </w:p>
        </w:tc>
        <w:tc>
          <w:tcPr>
            <w:tcW w:w="425"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Общо, евро публични средства</w:t>
            </w:r>
          </w:p>
        </w:tc>
      </w:tr>
      <w:tr w:rsidR="003B163C" w:rsidRPr="00385298" w:rsidTr="00715566">
        <w:trPr>
          <w:trHeight w:val="30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Програмирани</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5 000 000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2 000 000</w:t>
            </w:r>
          </w:p>
        </w:tc>
        <w:tc>
          <w:tcPr>
            <w:tcW w:w="337"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200 000</w:t>
            </w:r>
          </w:p>
        </w:tc>
        <w:tc>
          <w:tcPr>
            <w:tcW w:w="413"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200 000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3 505 404</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4 000 000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2 550 000</w:t>
            </w:r>
          </w:p>
        </w:tc>
        <w:tc>
          <w:tcPr>
            <w:tcW w:w="337"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550 000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3 694 596</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1 300 000</w:t>
            </w:r>
          </w:p>
        </w:tc>
        <w:tc>
          <w:tcPr>
            <w:tcW w:w="425"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23 000 000</w:t>
            </w:r>
          </w:p>
        </w:tc>
      </w:tr>
      <w:tr w:rsidR="003B163C" w:rsidRPr="00385298" w:rsidTr="00715566">
        <w:trPr>
          <w:trHeight w:val="435"/>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Договори</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2 228 723</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738 809</w:t>
            </w:r>
          </w:p>
        </w:tc>
        <w:tc>
          <w:tcPr>
            <w:tcW w:w="337"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151 073</w:t>
            </w:r>
          </w:p>
        </w:tc>
        <w:tc>
          <w:tcPr>
            <w:tcW w:w="413"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1 213 240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1 288 660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1 027 842</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309 869</w:t>
            </w:r>
          </w:p>
        </w:tc>
        <w:tc>
          <w:tcPr>
            <w:tcW w:w="337"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120 859</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390 569</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649 270</w:t>
            </w:r>
          </w:p>
        </w:tc>
        <w:tc>
          <w:tcPr>
            <w:tcW w:w="425"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8 118 913</w:t>
            </w:r>
          </w:p>
        </w:tc>
      </w:tr>
      <w:tr w:rsidR="003B163C" w:rsidRPr="00385298" w:rsidTr="00715566">
        <w:trPr>
          <w:trHeight w:val="300"/>
        </w:trPr>
        <w:tc>
          <w:tcPr>
            <w:tcW w:w="762"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Остатък</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2 771 277</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1 261 191</w:t>
            </w:r>
          </w:p>
        </w:tc>
        <w:tc>
          <w:tcPr>
            <w:tcW w:w="337"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48 927</w:t>
            </w:r>
          </w:p>
        </w:tc>
        <w:tc>
          <w:tcPr>
            <w:tcW w:w="413"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-1 013 240</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2 216 745</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2 972 158</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2 240 131</w:t>
            </w:r>
          </w:p>
        </w:tc>
        <w:tc>
          <w:tcPr>
            <w:tcW w:w="337"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429 141</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3 304 026</w:t>
            </w:r>
          </w:p>
        </w:tc>
        <w:tc>
          <w:tcPr>
            <w:tcW w:w="390"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650 730</w:t>
            </w:r>
          </w:p>
        </w:tc>
        <w:tc>
          <w:tcPr>
            <w:tcW w:w="425" w:type="pc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rsidR="003B163C" w:rsidRPr="00385298" w:rsidRDefault="003B163C" w:rsidP="003B163C">
            <w:pPr>
              <w:spacing w:after="0" w:line="240" w:lineRule="auto"/>
              <w:jc w:val="right"/>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14 881 087</w:t>
            </w:r>
          </w:p>
        </w:tc>
      </w:tr>
    </w:tbl>
    <w:p w:rsidR="003B163C" w:rsidRPr="00385298" w:rsidRDefault="003B163C" w:rsidP="003B163C">
      <w:pPr>
        <w:jc w:val="both"/>
        <w:rPr>
          <w:rFonts w:ascii="Times New Roman" w:hAnsi="Times New Roman" w:cs="Times New Roman"/>
          <w:sz w:val="24"/>
          <w:szCs w:val="24"/>
          <w:lang w:val="bg-BG"/>
        </w:rPr>
      </w:pPr>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По този начин, в мярката ще останат вкл. за следващи приеми 14 млн. евро публични средства от общо 23 млн. евро публични средства:</w:t>
      </w:r>
    </w:p>
    <w:p w:rsidR="002D7908" w:rsidRDefault="002D7908" w:rsidP="003B163C">
      <w:pPr>
        <w:ind w:firstLine="567"/>
        <w:jc w:val="both"/>
        <w:rPr>
          <w:rFonts w:ascii="Times New Roman" w:eastAsia="Times New Roman" w:hAnsi="Times New Roman" w:cs="Times New Roman"/>
          <w:b/>
          <w:sz w:val="24"/>
          <w:szCs w:val="24"/>
          <w:lang w:val="bg-BG" w:eastAsia="bg-BG"/>
        </w:rPr>
      </w:pPr>
    </w:p>
    <w:p w:rsidR="002D7908" w:rsidRDefault="002D7908" w:rsidP="003B163C">
      <w:pPr>
        <w:ind w:firstLine="567"/>
        <w:jc w:val="both"/>
        <w:rPr>
          <w:rFonts w:ascii="Times New Roman" w:eastAsia="Times New Roman" w:hAnsi="Times New Roman" w:cs="Times New Roman"/>
          <w:b/>
          <w:sz w:val="24"/>
          <w:szCs w:val="24"/>
          <w:lang w:val="bg-BG" w:eastAsia="bg-BG"/>
        </w:rPr>
      </w:pPr>
    </w:p>
    <w:p w:rsidR="002D7908" w:rsidRDefault="002D7908" w:rsidP="003B163C">
      <w:pPr>
        <w:ind w:firstLine="567"/>
        <w:jc w:val="both"/>
        <w:rPr>
          <w:rFonts w:ascii="Times New Roman" w:eastAsia="Times New Roman" w:hAnsi="Times New Roman" w:cs="Times New Roman"/>
          <w:b/>
          <w:sz w:val="24"/>
          <w:szCs w:val="24"/>
          <w:lang w:val="bg-BG" w:eastAsia="bg-BG"/>
        </w:rPr>
      </w:pPr>
    </w:p>
    <w:p w:rsidR="003B163C" w:rsidRPr="00385298" w:rsidRDefault="003B163C" w:rsidP="003B163C">
      <w:pPr>
        <w:ind w:firstLine="567"/>
        <w:jc w:val="both"/>
        <w:rPr>
          <w:rFonts w:ascii="Times New Roman" w:eastAsia="Times New Roman" w:hAnsi="Times New Roman" w:cs="Times New Roman"/>
          <w:b/>
          <w:sz w:val="24"/>
          <w:szCs w:val="24"/>
          <w:lang w:val="bg-BG" w:eastAsia="bg-BG"/>
        </w:rPr>
      </w:pPr>
      <w:r w:rsidRPr="00385298">
        <w:rPr>
          <w:rFonts w:ascii="Times New Roman" w:eastAsia="Times New Roman" w:hAnsi="Times New Roman" w:cs="Times New Roman"/>
          <w:b/>
          <w:sz w:val="24"/>
          <w:szCs w:val="24"/>
          <w:lang w:val="bg-BG" w:eastAsia="bg-BG"/>
        </w:rPr>
        <w:t>Таблица 2а:</w:t>
      </w:r>
    </w:p>
    <w:tbl>
      <w:tblPr>
        <w:tblW w:w="5496" w:type="pct"/>
        <w:tblInd w:w="-431" w:type="dxa"/>
        <w:tblLook w:val="04A0" w:firstRow="1" w:lastRow="0" w:firstColumn="1" w:lastColumn="0" w:noHBand="0" w:noVBand="1"/>
      </w:tblPr>
      <w:tblGrid>
        <w:gridCol w:w="2448"/>
        <w:gridCol w:w="1204"/>
        <w:gridCol w:w="1204"/>
        <w:gridCol w:w="1040"/>
        <w:gridCol w:w="1276"/>
        <w:gridCol w:w="1205"/>
        <w:gridCol w:w="1205"/>
        <w:gridCol w:w="1205"/>
        <w:gridCol w:w="1040"/>
        <w:gridCol w:w="1205"/>
        <w:gridCol w:w="1205"/>
        <w:gridCol w:w="1301"/>
      </w:tblGrid>
      <w:tr w:rsidR="003B163C" w:rsidRPr="00385298" w:rsidTr="00715566">
        <w:trPr>
          <w:trHeight w:val="780"/>
        </w:trPr>
        <w:tc>
          <w:tcPr>
            <w:tcW w:w="762"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Mярка 1 – „Трансфер на знания и действия за осведомяване“/Фокус област</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2A</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2Б</w:t>
            </w:r>
          </w:p>
        </w:tc>
        <w:tc>
          <w:tcPr>
            <w:tcW w:w="337"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3A</w:t>
            </w:r>
          </w:p>
        </w:tc>
        <w:tc>
          <w:tcPr>
            <w:tcW w:w="413"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3Б</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П4</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5A</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5Б</w:t>
            </w:r>
          </w:p>
        </w:tc>
        <w:tc>
          <w:tcPr>
            <w:tcW w:w="337"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5В</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5Г</w:t>
            </w:r>
          </w:p>
        </w:tc>
        <w:tc>
          <w:tcPr>
            <w:tcW w:w="390"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5Д</w:t>
            </w:r>
          </w:p>
        </w:tc>
        <w:tc>
          <w:tcPr>
            <w:tcW w:w="425"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rsidR="003B163C" w:rsidRPr="00385298" w:rsidRDefault="003B163C" w:rsidP="003B163C">
            <w:pPr>
              <w:spacing w:after="0" w:line="240" w:lineRule="auto"/>
              <w:jc w:val="center"/>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Общо, евро публични средства</w:t>
            </w:r>
          </w:p>
        </w:tc>
      </w:tr>
      <w:tr w:rsidR="003B163C" w:rsidRPr="00385298" w:rsidTr="00715566">
        <w:trPr>
          <w:trHeight w:val="300"/>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Програмирани М1.1</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1 174 118</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744 444</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155 556</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1 222 222</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636 504</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857 053</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75 468</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122 222</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201 541</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377 179</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5 566 308</w:t>
            </w:r>
          </w:p>
        </w:tc>
      </w:tr>
      <w:tr w:rsidR="003B163C" w:rsidRPr="00385298" w:rsidTr="00715566">
        <w:trPr>
          <w:trHeight w:val="435"/>
        </w:trPr>
        <w:tc>
          <w:tcPr>
            <w:tcW w:w="762" w:type="pct"/>
            <w:tcBorders>
              <w:top w:val="nil"/>
              <w:left w:val="single" w:sz="4" w:space="0" w:color="auto"/>
              <w:bottom w:val="single" w:sz="4" w:space="0" w:color="auto"/>
              <w:right w:val="single" w:sz="4" w:space="0" w:color="auto"/>
            </w:tcBorders>
            <w:shd w:val="clear" w:color="auto" w:fill="auto"/>
            <w:noWrap/>
            <w:vAlign w:val="bottom"/>
            <w:hideMark/>
          </w:tcPr>
          <w:p w:rsidR="003B163C" w:rsidRPr="00385298" w:rsidRDefault="003B163C" w:rsidP="003B163C">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Програмирани М1.2</w:t>
            </w:r>
          </w:p>
        </w:tc>
        <w:tc>
          <w:tcPr>
            <w:tcW w:w="390" w:type="pct"/>
            <w:tcBorders>
              <w:top w:val="nil"/>
              <w:left w:val="single" w:sz="4" w:space="0" w:color="auto"/>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4 836 993</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0</w:t>
            </w:r>
          </w:p>
        </w:tc>
        <w:tc>
          <w:tcPr>
            <w:tcW w:w="337"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0</w:t>
            </w:r>
          </w:p>
        </w:tc>
        <w:tc>
          <w:tcPr>
            <w:tcW w:w="413"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2 319 051</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731 836</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257 866</w:t>
            </w:r>
          </w:p>
        </w:tc>
        <w:tc>
          <w:tcPr>
            <w:tcW w:w="337"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0</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198 459</w:t>
            </w:r>
          </w:p>
        </w:tc>
        <w:tc>
          <w:tcPr>
            <w:tcW w:w="390"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278 377</w:t>
            </w:r>
          </w:p>
        </w:tc>
        <w:tc>
          <w:tcPr>
            <w:tcW w:w="425" w:type="pct"/>
            <w:tcBorders>
              <w:top w:val="nil"/>
              <w:left w:val="nil"/>
              <w:bottom w:val="single" w:sz="4" w:space="0" w:color="auto"/>
              <w:right w:val="single" w:sz="4" w:space="0" w:color="auto"/>
            </w:tcBorders>
            <w:shd w:val="clear" w:color="auto" w:fill="auto"/>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8 622 581</w:t>
            </w:r>
          </w:p>
        </w:tc>
      </w:tr>
      <w:tr w:rsidR="003B163C" w:rsidRPr="00385298" w:rsidTr="00715566">
        <w:trPr>
          <w:trHeight w:val="300"/>
        </w:trPr>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spacing w:after="0" w:line="240" w:lineRule="auto"/>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lastRenderedPageBreak/>
              <w:t>Общо</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6 011 111</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744 444</w:t>
            </w:r>
          </w:p>
        </w:tc>
        <w:tc>
          <w:tcPr>
            <w:tcW w:w="33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155 556</w:t>
            </w:r>
          </w:p>
        </w:tc>
        <w:tc>
          <w:tcPr>
            <w:tcW w:w="41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1 222 222</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2 955 556</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1 588 889</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333 333</w:t>
            </w:r>
          </w:p>
        </w:tc>
        <w:tc>
          <w:tcPr>
            <w:tcW w:w="33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122 222</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400 000</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655 556</w:t>
            </w:r>
          </w:p>
        </w:tc>
        <w:tc>
          <w:tcPr>
            <w:tcW w:w="42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B163C" w:rsidRPr="00385298" w:rsidRDefault="003B163C" w:rsidP="003B163C">
            <w:pPr>
              <w:jc w:val="right"/>
              <w:rPr>
                <w:rFonts w:ascii="Times New Roman" w:hAnsi="Times New Roman" w:cs="Times New Roman"/>
                <w:b/>
                <w:bCs/>
                <w:color w:val="FF0000"/>
                <w:sz w:val="24"/>
                <w:szCs w:val="24"/>
                <w:lang w:val="bg-BG"/>
              </w:rPr>
            </w:pPr>
            <w:r w:rsidRPr="00385298">
              <w:rPr>
                <w:rFonts w:ascii="Times New Roman" w:hAnsi="Times New Roman" w:cs="Times New Roman"/>
                <w:b/>
                <w:bCs/>
                <w:sz w:val="24"/>
                <w:szCs w:val="24"/>
                <w:lang w:val="bg-BG"/>
              </w:rPr>
              <w:t>14 188 889</w:t>
            </w:r>
          </w:p>
        </w:tc>
      </w:tr>
    </w:tbl>
    <w:p w:rsidR="003B163C" w:rsidRPr="00385298" w:rsidRDefault="003B163C" w:rsidP="003B163C">
      <w:pPr>
        <w:rPr>
          <w:rFonts w:ascii="Times New Roman" w:hAnsi="Times New Roman" w:cs="Times New Roman"/>
          <w:sz w:val="24"/>
          <w:szCs w:val="24"/>
          <w:lang w:val="bg-BG"/>
        </w:rPr>
      </w:pPr>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5" w:name="_Toc131579026"/>
      <w:r w:rsidRPr="00385298">
        <w:rPr>
          <w:rFonts w:ascii="Times New Roman" w:eastAsia="Times New Roman" w:hAnsi="Times New Roman" w:cs="Times New Roman"/>
          <w:b/>
          <w:sz w:val="24"/>
          <w:szCs w:val="24"/>
          <w:lang w:val="bg-BG"/>
        </w:rPr>
        <w:t>Прехвърляне на средства към подмерки 4.3 и 7.2</w:t>
      </w:r>
      <w:bookmarkEnd w:id="5"/>
      <w:r w:rsidRPr="00385298">
        <w:rPr>
          <w:rFonts w:ascii="Times New Roman" w:eastAsia="Times New Roman" w:hAnsi="Times New Roman" w:cs="Times New Roman"/>
          <w:b/>
          <w:sz w:val="24"/>
          <w:szCs w:val="24"/>
          <w:lang w:val="bg-BG"/>
        </w:rPr>
        <w:t xml:space="preserve">  </w:t>
      </w:r>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6" w:name="_Toc131579027"/>
      <w:r w:rsidRPr="00385298">
        <w:rPr>
          <w:rFonts w:ascii="Times New Roman" w:eastAsia="Times New Roman" w:hAnsi="Times New Roman" w:cs="Times New Roman"/>
          <w:b/>
          <w:sz w:val="24"/>
          <w:szCs w:val="24"/>
          <w:lang w:val="bg-BG"/>
        </w:rPr>
        <w:t>Прехвърляне на средства към подмярка 4.3 „Инвестиции в инфраструктура“</w:t>
      </w:r>
      <w:bookmarkEnd w:id="6"/>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След индексиране на ставките за мерките с плащане на площ (подробно описано по-горе в гл. II), е възможно да бъдат усвоени до 15-20 млн. евро публични средства от остатъците, показани в Таблица 8. Въпреки това, ще са на разположение още неусвояеми остатъци по тези мерки.</w:t>
      </w:r>
    </w:p>
    <w:p w:rsidR="003B163C" w:rsidRPr="00385298" w:rsidRDefault="003B163C" w:rsidP="003B163C">
      <w:pPr>
        <w:jc w:val="both"/>
        <w:rPr>
          <w:rFonts w:ascii="Times New Roman" w:eastAsia="Times New Roman" w:hAnsi="Times New Roman" w:cs="Times New Roman"/>
          <w:sz w:val="24"/>
          <w:szCs w:val="24"/>
          <w:lang w:val="bg-BG" w:eastAsia="bg-BG"/>
        </w:rPr>
      </w:pPr>
      <w:r w:rsidRPr="00385298">
        <w:rPr>
          <w:rFonts w:ascii="Times New Roman" w:eastAsia="Times New Roman" w:hAnsi="Times New Roman" w:cs="Times New Roman"/>
          <w:sz w:val="24"/>
          <w:szCs w:val="24"/>
          <w:lang w:val="bg-BG" w:eastAsia="bg-BG"/>
        </w:rPr>
        <w:t>УО на ПРСР предлага извеждането на 20 млн. евро публични средства от тези неусвояеми средства по мерките с плащане на площ, насочвайки ги към подобни по характер инвестиции в подмярка 4.3, изключително в приоритет 5 – 20 млн. евро публични средства към фокус област 5А)</w:t>
      </w:r>
      <w:r w:rsidRPr="00385298">
        <w:rPr>
          <w:rFonts w:ascii="Times New Roman" w:hAnsi="Times New Roman" w:cs="Times New Roman"/>
          <w:sz w:val="24"/>
          <w:szCs w:val="24"/>
          <w:lang w:val="bg-BG"/>
        </w:rPr>
        <w:t xml:space="preserve"> </w:t>
      </w:r>
      <w:r w:rsidRPr="00385298">
        <w:rPr>
          <w:rFonts w:ascii="Times New Roman" w:eastAsia="Times New Roman" w:hAnsi="Times New Roman" w:cs="Times New Roman"/>
          <w:sz w:val="24"/>
          <w:szCs w:val="24"/>
          <w:lang w:val="bg-BG" w:eastAsia="bg-BG"/>
        </w:rPr>
        <w:t>„Повишаване на ефективността при потреблението на вода в селското стопанство“, която изцяло е свързана с опазване на компонентите на околната среда.</w:t>
      </w:r>
    </w:p>
    <w:p w:rsidR="003B163C" w:rsidRPr="00385298" w:rsidRDefault="003B163C" w:rsidP="003B163C">
      <w:pPr>
        <w:keepNext/>
        <w:spacing w:before="240" w:after="240" w:line="240" w:lineRule="auto"/>
        <w:jc w:val="both"/>
        <w:outlineLvl w:val="1"/>
        <w:rPr>
          <w:rFonts w:ascii="Times New Roman" w:eastAsia="Times New Roman" w:hAnsi="Times New Roman" w:cs="Times New Roman"/>
          <w:b/>
          <w:sz w:val="24"/>
          <w:szCs w:val="24"/>
          <w:lang w:val="bg-BG"/>
        </w:rPr>
      </w:pPr>
      <w:bookmarkStart w:id="7" w:name="_Toc131579028"/>
      <w:r w:rsidRPr="00385298">
        <w:rPr>
          <w:rFonts w:ascii="Times New Roman" w:eastAsia="Times New Roman" w:hAnsi="Times New Roman" w:cs="Times New Roman"/>
          <w:b/>
          <w:sz w:val="24"/>
          <w:szCs w:val="24"/>
          <w:lang w:val="bg-BG"/>
        </w:rPr>
        <w:t>Прехвърляне на средства към подмярка 7.2 „Инвестиции в създаването, подобряването или разширяването на всички видове малка по мащаби инфраструктура“</w:t>
      </w:r>
      <w:bookmarkEnd w:id="7"/>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 допълнение към всички предложени промени, се предвижда да бъдат добавени 14 127 995 евро от ЕЗФРСР (16 621 171 евро публични средства) към Фокус същата област 5С „Улесняване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биоикономиката“, с цел увеличаване на бюджета и одобрение на всички заявления с равен брой точки – 31 т. включително от Процедура № BG06RDNP001-7.020 –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 част от приема, проведен през 2021 г. с общ бюджет 15 млн. евро публични средства.</w:t>
      </w:r>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По този начин, разполагаемите средства в тази фокус област са сумарно 26 877 995 евро от ЕЗФРСР, или съответно 31 621 171 евро публични средства:</w:t>
      </w:r>
    </w:p>
    <w:p w:rsidR="003B163C" w:rsidRPr="00385298" w:rsidRDefault="003B163C" w:rsidP="003B163C">
      <w:pPr>
        <w:tabs>
          <w:tab w:val="left" w:pos="567"/>
        </w:tabs>
        <w:spacing w:after="0"/>
        <w:ind w:right="-331" w:firstLine="567"/>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Таблица 3: Планиран(и) показател(и) за изпълнението 2014—2020 г.</w:t>
      </w:r>
    </w:p>
    <w:p w:rsidR="003B163C" w:rsidRPr="00385298" w:rsidRDefault="003B163C" w:rsidP="003B163C">
      <w:pPr>
        <w:tabs>
          <w:tab w:val="left" w:pos="567"/>
        </w:tabs>
        <w:spacing w:after="0"/>
        <w:ind w:right="-331" w:firstLine="567"/>
        <w:jc w:val="both"/>
        <w:rPr>
          <w:rFonts w:ascii="Times New Roman" w:hAnsi="Times New Roman" w:cs="Times New Roman"/>
          <w:b/>
          <w:sz w:val="24"/>
          <w:szCs w:val="24"/>
          <w:lang w:val="bg-BG"/>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7518"/>
        <w:gridCol w:w="1753"/>
      </w:tblGrid>
      <w:tr w:rsidR="003B163C" w:rsidRPr="00385298" w:rsidTr="00715566">
        <w:trPr>
          <w:trHeight w:val="100"/>
        </w:trPr>
        <w:tc>
          <w:tcPr>
            <w:tcW w:w="1721" w:type="pct"/>
            <w:shd w:val="clear" w:color="auto" w:fill="C0C0C0"/>
            <w:tcMar>
              <w:top w:w="60" w:type="dxa"/>
            </w:tcMar>
            <w:vAlign w:val="center"/>
          </w:tcPr>
          <w:p w:rsidR="003B163C" w:rsidRPr="00385298" w:rsidRDefault="003B163C" w:rsidP="003B163C">
            <w:pPr>
              <w:spacing w:after="0"/>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Наименование на мярката</w:t>
            </w:r>
          </w:p>
        </w:tc>
        <w:tc>
          <w:tcPr>
            <w:tcW w:w="2659" w:type="pct"/>
            <w:shd w:val="clear" w:color="auto" w:fill="C0C0C0"/>
            <w:tcMar>
              <w:top w:w="60" w:type="dxa"/>
            </w:tcMar>
            <w:vAlign w:val="center"/>
          </w:tcPr>
          <w:p w:rsidR="003B163C" w:rsidRPr="00385298" w:rsidRDefault="003B163C" w:rsidP="003B163C">
            <w:pPr>
              <w:spacing w:after="0"/>
              <w:jc w:val="center"/>
              <w:rPr>
                <w:rFonts w:ascii="Times New Roman" w:hAnsi="Times New Roman" w:cs="Times New Roman"/>
                <w:b/>
                <w:sz w:val="24"/>
                <w:szCs w:val="24"/>
                <w:lang w:val="bg-BG"/>
              </w:rPr>
            </w:pPr>
            <w:r w:rsidRPr="00385298">
              <w:rPr>
                <w:rFonts w:ascii="Times New Roman" w:hAnsi="Times New Roman" w:cs="Times New Roman"/>
                <w:b/>
                <w:sz w:val="24"/>
                <w:szCs w:val="24"/>
                <w:lang w:val="bg-BG"/>
              </w:rPr>
              <w:t>Име на показателя</w:t>
            </w:r>
          </w:p>
        </w:tc>
        <w:tc>
          <w:tcPr>
            <w:tcW w:w="620" w:type="pct"/>
            <w:shd w:val="clear" w:color="auto" w:fill="C0C0C0"/>
            <w:tcMar>
              <w:top w:w="60" w:type="dxa"/>
            </w:tcMar>
            <w:vAlign w:val="center"/>
          </w:tcPr>
          <w:p w:rsidR="003B163C" w:rsidRPr="00385298" w:rsidRDefault="003B163C" w:rsidP="003B163C">
            <w:pPr>
              <w:spacing w:after="0"/>
              <w:jc w:val="center"/>
              <w:rPr>
                <w:rFonts w:ascii="Times New Roman" w:hAnsi="Times New Roman" w:cs="Times New Roman"/>
                <w:sz w:val="24"/>
                <w:szCs w:val="24"/>
                <w:lang w:val="bg-BG"/>
              </w:rPr>
            </w:pPr>
            <w:r w:rsidRPr="00385298">
              <w:rPr>
                <w:rFonts w:ascii="Times New Roman" w:hAnsi="Times New Roman" w:cs="Times New Roman"/>
                <w:b/>
                <w:sz w:val="24"/>
                <w:szCs w:val="24"/>
                <w:lang w:val="bg-BG"/>
              </w:rPr>
              <w:t>Стойност</w:t>
            </w:r>
          </w:p>
        </w:tc>
      </w:tr>
      <w:tr w:rsidR="003B163C" w:rsidRPr="00385298" w:rsidTr="00715566">
        <w:tc>
          <w:tcPr>
            <w:tcW w:w="1721" w:type="pct"/>
            <w:shd w:val="clear" w:color="auto" w:fill="FFFFFF"/>
            <w:tcMar>
              <w:top w:w="60" w:type="dxa"/>
            </w:tcMar>
            <w:vAlign w:val="center"/>
          </w:tcPr>
          <w:p w:rsidR="003B163C" w:rsidRPr="00385298" w:rsidRDefault="003B163C" w:rsidP="003B163C">
            <w:pPr>
              <w:spacing w:before="20" w:after="0"/>
              <w:rPr>
                <w:rFonts w:ascii="Times New Roman" w:hAnsi="Times New Roman" w:cs="Times New Roman"/>
                <w:b/>
                <w:sz w:val="24"/>
                <w:szCs w:val="24"/>
                <w:lang w:val="bg-BG"/>
              </w:rPr>
            </w:pPr>
            <w:r w:rsidRPr="00385298">
              <w:rPr>
                <w:rFonts w:ascii="Times New Roman" w:hAnsi="Times New Roman" w:cs="Times New Roman"/>
                <w:b/>
                <w:sz w:val="24"/>
                <w:szCs w:val="24"/>
                <w:lang w:val="bg-BG"/>
              </w:rPr>
              <w:lastRenderedPageBreak/>
              <w:t>М07 — Основни услуги и обновяване на селата в селските райони (член 20)</w:t>
            </w:r>
          </w:p>
        </w:tc>
        <w:tc>
          <w:tcPr>
            <w:tcW w:w="2659" w:type="pct"/>
            <w:shd w:val="clear" w:color="auto" w:fill="FFFFFF"/>
            <w:tcMar>
              <w:top w:w="60" w:type="dxa"/>
            </w:tcMar>
            <w:vAlign w:val="center"/>
          </w:tcPr>
          <w:p w:rsidR="003B163C" w:rsidRPr="00385298" w:rsidRDefault="003B163C" w:rsidP="003B163C">
            <w:pPr>
              <w:spacing w:before="20" w:after="0"/>
              <w:rPr>
                <w:rFonts w:ascii="Times New Roman" w:hAnsi="Times New Roman" w:cs="Times New Roman"/>
                <w:sz w:val="24"/>
                <w:szCs w:val="24"/>
                <w:lang w:val="bg-BG"/>
              </w:rPr>
            </w:pPr>
            <w:r w:rsidRPr="00385298">
              <w:rPr>
                <w:rFonts w:ascii="Times New Roman" w:hAnsi="Times New Roman" w:cs="Times New Roman"/>
                <w:sz w:val="24"/>
                <w:szCs w:val="24"/>
                <w:lang w:val="bg-BG"/>
              </w:rPr>
              <w:t>Брой операции, получаващи подкрепа за инвестиции в малка по мащаби инфраструктура, включително инвестиции в енергия от възобновяеми източници и спестяване на енергия (7.2)</w:t>
            </w:r>
          </w:p>
        </w:tc>
        <w:tc>
          <w:tcPr>
            <w:tcW w:w="620" w:type="pct"/>
            <w:shd w:val="clear" w:color="auto" w:fill="FFFFFF"/>
            <w:tcMar>
              <w:top w:w="60" w:type="dxa"/>
            </w:tcMar>
            <w:vAlign w:val="center"/>
          </w:tcPr>
          <w:p w:rsidR="003B163C" w:rsidRPr="00385298" w:rsidRDefault="003B163C" w:rsidP="003B163C">
            <w:pPr>
              <w:spacing w:before="20" w:after="0"/>
              <w:jc w:val="right"/>
              <w:rPr>
                <w:rFonts w:ascii="Times New Roman" w:hAnsi="Times New Roman" w:cs="Times New Roman"/>
                <w:sz w:val="24"/>
                <w:szCs w:val="24"/>
                <w:lang w:val="bg-BG"/>
              </w:rPr>
            </w:pPr>
            <w:r w:rsidRPr="00385298">
              <w:rPr>
                <w:rFonts w:ascii="Times New Roman" w:hAnsi="Times New Roman" w:cs="Times New Roman"/>
                <w:sz w:val="24"/>
                <w:szCs w:val="24"/>
                <w:lang w:val="bg-BG"/>
              </w:rPr>
              <w:t>60</w:t>
            </w:r>
          </w:p>
        </w:tc>
      </w:tr>
      <w:tr w:rsidR="003B163C" w:rsidRPr="00385298" w:rsidTr="00715566">
        <w:tc>
          <w:tcPr>
            <w:tcW w:w="1721" w:type="pct"/>
            <w:shd w:val="clear" w:color="auto" w:fill="FFFFFF"/>
            <w:tcMar>
              <w:top w:w="60" w:type="dxa"/>
            </w:tcMar>
            <w:vAlign w:val="center"/>
          </w:tcPr>
          <w:p w:rsidR="003B163C" w:rsidRPr="00385298" w:rsidRDefault="003B163C" w:rsidP="003B163C">
            <w:pPr>
              <w:spacing w:before="20" w:after="0"/>
              <w:rPr>
                <w:rFonts w:ascii="Times New Roman" w:hAnsi="Times New Roman" w:cs="Times New Roman"/>
                <w:b/>
                <w:sz w:val="24"/>
                <w:szCs w:val="24"/>
                <w:lang w:val="bg-BG"/>
              </w:rPr>
            </w:pPr>
            <w:r w:rsidRPr="00385298">
              <w:rPr>
                <w:rFonts w:ascii="Times New Roman" w:hAnsi="Times New Roman" w:cs="Times New Roman"/>
                <w:b/>
                <w:sz w:val="24"/>
                <w:szCs w:val="24"/>
                <w:lang w:val="bg-BG"/>
              </w:rPr>
              <w:t>М07 — Основни услуги и обновяване на селата в селските райони (член 20)</w:t>
            </w:r>
          </w:p>
        </w:tc>
        <w:tc>
          <w:tcPr>
            <w:tcW w:w="2659" w:type="pct"/>
            <w:shd w:val="clear" w:color="auto" w:fill="FFFFFF"/>
            <w:tcMar>
              <w:top w:w="60" w:type="dxa"/>
            </w:tcMar>
            <w:vAlign w:val="center"/>
          </w:tcPr>
          <w:p w:rsidR="003B163C" w:rsidRPr="00385298" w:rsidRDefault="003B163C" w:rsidP="003B163C">
            <w:pPr>
              <w:spacing w:before="20" w:after="0"/>
              <w:rPr>
                <w:rFonts w:ascii="Times New Roman" w:hAnsi="Times New Roman" w:cs="Times New Roman"/>
                <w:sz w:val="24"/>
                <w:szCs w:val="24"/>
                <w:lang w:val="bg-BG"/>
              </w:rPr>
            </w:pPr>
            <w:r w:rsidRPr="00385298">
              <w:rPr>
                <w:rFonts w:ascii="Times New Roman" w:hAnsi="Times New Roman" w:cs="Times New Roman"/>
                <w:sz w:val="24"/>
                <w:szCs w:val="24"/>
                <w:lang w:val="bg-BG"/>
              </w:rPr>
              <w:t>Общо инвестиции в евро (публични + частни)</w:t>
            </w:r>
          </w:p>
        </w:tc>
        <w:tc>
          <w:tcPr>
            <w:tcW w:w="620" w:type="pct"/>
            <w:shd w:val="clear" w:color="auto" w:fill="FFFFFF"/>
            <w:tcMar>
              <w:top w:w="60" w:type="dxa"/>
            </w:tcMar>
            <w:vAlign w:val="center"/>
          </w:tcPr>
          <w:p w:rsidR="003B163C" w:rsidRPr="00385298" w:rsidRDefault="003B163C" w:rsidP="003B163C">
            <w:pPr>
              <w:spacing w:before="20" w:after="0"/>
              <w:jc w:val="right"/>
              <w:rPr>
                <w:rFonts w:ascii="Times New Roman" w:hAnsi="Times New Roman" w:cs="Times New Roman"/>
                <w:sz w:val="24"/>
                <w:szCs w:val="24"/>
                <w:lang w:val="bg-BG"/>
              </w:rPr>
            </w:pPr>
            <w:r w:rsidRPr="00385298">
              <w:rPr>
                <w:rFonts w:ascii="Times New Roman" w:hAnsi="Times New Roman" w:cs="Times New Roman"/>
                <w:sz w:val="24"/>
                <w:szCs w:val="24"/>
                <w:lang w:val="bg-BG"/>
              </w:rPr>
              <w:t>31 621 171</w:t>
            </w:r>
          </w:p>
        </w:tc>
      </w:tr>
      <w:tr w:rsidR="003B163C" w:rsidRPr="00385298" w:rsidTr="00715566">
        <w:tc>
          <w:tcPr>
            <w:tcW w:w="1721" w:type="pct"/>
            <w:shd w:val="clear" w:color="auto" w:fill="FFFFFF"/>
            <w:tcMar>
              <w:top w:w="60" w:type="dxa"/>
            </w:tcMar>
            <w:vAlign w:val="center"/>
          </w:tcPr>
          <w:p w:rsidR="003B163C" w:rsidRPr="00385298" w:rsidRDefault="003B163C" w:rsidP="003B163C">
            <w:pPr>
              <w:spacing w:before="20" w:after="0"/>
              <w:rPr>
                <w:rFonts w:ascii="Times New Roman" w:hAnsi="Times New Roman" w:cs="Times New Roman"/>
                <w:b/>
                <w:sz w:val="24"/>
                <w:szCs w:val="24"/>
                <w:lang w:val="bg-BG"/>
              </w:rPr>
            </w:pPr>
            <w:r w:rsidRPr="00385298">
              <w:rPr>
                <w:rFonts w:ascii="Times New Roman" w:hAnsi="Times New Roman" w:cs="Times New Roman"/>
                <w:b/>
                <w:sz w:val="24"/>
                <w:szCs w:val="24"/>
                <w:lang w:val="bg-BG"/>
              </w:rPr>
              <w:t>М07 — Основни услуги и обновяване на селата в селските райони (член 20)</w:t>
            </w:r>
          </w:p>
        </w:tc>
        <w:tc>
          <w:tcPr>
            <w:tcW w:w="2659" w:type="pct"/>
            <w:shd w:val="clear" w:color="auto" w:fill="FFFFFF"/>
            <w:tcMar>
              <w:top w:w="60" w:type="dxa"/>
            </w:tcMar>
            <w:vAlign w:val="center"/>
          </w:tcPr>
          <w:p w:rsidR="003B163C" w:rsidRPr="00385298" w:rsidRDefault="003B163C" w:rsidP="003B163C">
            <w:pPr>
              <w:spacing w:before="20" w:after="0"/>
              <w:rPr>
                <w:rFonts w:ascii="Times New Roman" w:hAnsi="Times New Roman" w:cs="Times New Roman"/>
                <w:sz w:val="24"/>
                <w:szCs w:val="24"/>
                <w:lang w:val="bg-BG"/>
              </w:rPr>
            </w:pPr>
            <w:r w:rsidRPr="00385298">
              <w:rPr>
                <w:rFonts w:ascii="Times New Roman" w:hAnsi="Times New Roman" w:cs="Times New Roman"/>
                <w:sz w:val="24"/>
                <w:szCs w:val="24"/>
                <w:lang w:val="bg-BG"/>
              </w:rPr>
              <w:t>Общо публични разходи (в евро)</w:t>
            </w:r>
          </w:p>
        </w:tc>
        <w:tc>
          <w:tcPr>
            <w:tcW w:w="620" w:type="pct"/>
            <w:shd w:val="clear" w:color="auto" w:fill="FFFFFF"/>
            <w:tcMar>
              <w:top w:w="60" w:type="dxa"/>
            </w:tcMar>
            <w:vAlign w:val="center"/>
          </w:tcPr>
          <w:p w:rsidR="003B163C" w:rsidRPr="00385298" w:rsidRDefault="003B163C" w:rsidP="003B163C">
            <w:pPr>
              <w:spacing w:before="20" w:after="0"/>
              <w:jc w:val="right"/>
              <w:rPr>
                <w:rFonts w:ascii="Times New Roman" w:hAnsi="Times New Roman" w:cs="Times New Roman"/>
                <w:sz w:val="24"/>
                <w:szCs w:val="24"/>
                <w:lang w:val="bg-BG"/>
              </w:rPr>
            </w:pPr>
            <w:r w:rsidRPr="00385298">
              <w:rPr>
                <w:rFonts w:ascii="Times New Roman" w:hAnsi="Times New Roman" w:cs="Times New Roman"/>
                <w:sz w:val="24"/>
                <w:szCs w:val="24"/>
                <w:lang w:val="bg-BG"/>
              </w:rPr>
              <w:t>31 621 171</w:t>
            </w:r>
          </w:p>
        </w:tc>
      </w:tr>
    </w:tbl>
    <w:p w:rsidR="003B163C" w:rsidRPr="00385298" w:rsidRDefault="003B163C" w:rsidP="003B163C">
      <w:pPr>
        <w:jc w:val="both"/>
        <w:rPr>
          <w:rFonts w:ascii="Times New Roman" w:hAnsi="Times New Roman" w:cs="Times New Roman"/>
          <w:sz w:val="24"/>
          <w:szCs w:val="24"/>
          <w:lang w:val="bg-BG"/>
        </w:rPr>
      </w:pPr>
    </w:p>
    <w:p w:rsidR="003B163C" w:rsidRPr="00385298" w:rsidRDefault="003B163C" w:rsidP="003B163C">
      <w:pPr>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Като цяло за изменението, са отчетени и съобразени и изискванията на чл. 59, ал. 6 от Регламент 1305/2013, както и т.</w:t>
      </w:r>
      <w:r w:rsidR="00147FFD" w:rsidRPr="00385298">
        <w:rPr>
          <w:rFonts w:ascii="Times New Roman" w:hAnsi="Times New Roman" w:cs="Times New Roman"/>
          <w:sz w:val="24"/>
          <w:szCs w:val="24"/>
          <w:lang w:val="bg-BG"/>
        </w:rPr>
        <w:t xml:space="preserve"> </w:t>
      </w:r>
      <w:r w:rsidRPr="00385298">
        <w:rPr>
          <w:rFonts w:ascii="Times New Roman" w:hAnsi="Times New Roman" w:cs="Times New Roman"/>
          <w:sz w:val="24"/>
          <w:szCs w:val="24"/>
          <w:lang w:val="bg-BG"/>
        </w:rPr>
        <w:t>нар „no backsliding principle” (съгласно който тази сума трябва да бъде като съотношение над 35.7%). След всички планирани за прехвърляне суми между мерки и подмерки на ПРСР 2014-2020, по така направените изчисления, съотношението все още е в размер на 35.73%.</w:t>
      </w:r>
    </w:p>
    <w:p w:rsidR="00EE00E9" w:rsidRPr="00385298" w:rsidRDefault="00EE00E9" w:rsidP="00DD44C7">
      <w:pPr>
        <w:spacing w:after="0" w:line="240" w:lineRule="auto"/>
        <w:contextualSpacing/>
        <w:rPr>
          <w:rFonts w:ascii="Times New Roman" w:hAnsi="Times New Roman" w:cs="Times New Roman"/>
          <w:b/>
          <w:i/>
          <w:sz w:val="24"/>
          <w:szCs w:val="24"/>
          <w:u w:val="single"/>
          <w:lang w:val="bg-BG"/>
        </w:rPr>
      </w:pPr>
    </w:p>
    <w:p w:rsidR="00722DA5" w:rsidRPr="00385298" w:rsidRDefault="00722DA5" w:rsidP="00DD44C7">
      <w:pPr>
        <w:spacing w:after="0" w:line="240" w:lineRule="auto"/>
        <w:contextualSpacing/>
        <w:rPr>
          <w:rFonts w:ascii="Times New Roman" w:hAnsi="Times New Roman" w:cs="Times New Roman"/>
          <w:b/>
          <w:i/>
          <w:sz w:val="24"/>
          <w:szCs w:val="24"/>
          <w:u w:val="single"/>
          <w:lang w:val="bg-BG"/>
        </w:rPr>
      </w:pPr>
    </w:p>
    <w:p w:rsidR="003B163C" w:rsidRPr="00385298" w:rsidRDefault="003B163C" w:rsidP="00DD44C7">
      <w:pPr>
        <w:spacing w:after="0" w:line="240" w:lineRule="auto"/>
        <w:contextualSpacing/>
        <w:rPr>
          <w:rFonts w:ascii="Times New Roman" w:hAnsi="Times New Roman" w:cs="Times New Roman"/>
          <w:b/>
          <w:i/>
          <w:sz w:val="24"/>
          <w:szCs w:val="24"/>
          <w:u w:val="single"/>
          <w:lang w:val="bg-BG"/>
        </w:rPr>
      </w:pPr>
      <w:r w:rsidRPr="00385298">
        <w:rPr>
          <w:rFonts w:ascii="Times New Roman" w:hAnsi="Times New Roman" w:cs="Times New Roman"/>
          <w:b/>
          <w:i/>
          <w:sz w:val="24"/>
          <w:szCs w:val="24"/>
          <w:u w:val="single"/>
          <w:lang w:val="bg-BG"/>
        </w:rPr>
        <w:t>Приложение 5</w:t>
      </w:r>
    </w:p>
    <w:p w:rsidR="003B163C" w:rsidRPr="00385298" w:rsidRDefault="003B163C" w:rsidP="00DD44C7">
      <w:pPr>
        <w:spacing w:after="0" w:line="240" w:lineRule="auto"/>
        <w:contextualSpacing/>
        <w:rPr>
          <w:rFonts w:ascii="Times New Roman" w:hAnsi="Times New Roman" w:cs="Times New Roman"/>
          <w:b/>
          <w:i/>
          <w:sz w:val="24"/>
          <w:szCs w:val="24"/>
          <w:u w:val="single"/>
          <w:lang w:val="bg-BG"/>
        </w:rPr>
      </w:pPr>
    </w:p>
    <w:p w:rsidR="003B163C" w:rsidRPr="00385298" w:rsidRDefault="003B163C" w:rsidP="00DD44C7">
      <w:pPr>
        <w:spacing w:after="0" w:line="240" w:lineRule="auto"/>
        <w:contextualSpacing/>
        <w:rPr>
          <w:rFonts w:ascii="Times New Roman" w:hAnsi="Times New Roman" w:cs="Times New Roman"/>
          <w:b/>
          <w:i/>
          <w:sz w:val="24"/>
          <w:szCs w:val="24"/>
          <w:u w:val="single"/>
          <w:lang w:val="bg-BG"/>
        </w:rPr>
      </w:pPr>
    </w:p>
    <w:p w:rsidR="00EE00E9" w:rsidRPr="00385298" w:rsidRDefault="00EE00E9" w:rsidP="00EE00E9">
      <w:pPr>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 xml:space="preserve">Предложение на Управляващия орган на ПРСР 2014-2020  за изменение в текста на мярка 4 „Инвестиции в материални активи“ относно </w:t>
      </w:r>
      <w:r w:rsidRPr="00385298">
        <w:rPr>
          <w:rFonts w:ascii="Times New Roman" w:eastAsia="Calibri" w:hAnsi="Times New Roman" w:cs="Times New Roman"/>
          <w:b/>
          <w:bCs/>
          <w:sz w:val="24"/>
          <w:szCs w:val="24"/>
          <w:lang w:val="bg-BG"/>
        </w:rPr>
        <w:t xml:space="preserve">процедура за избор на изпълнители </w:t>
      </w:r>
      <w:r w:rsidRPr="00385298">
        <w:rPr>
          <w:rFonts w:ascii="Times New Roman" w:hAnsi="Times New Roman" w:cs="Times New Roman"/>
          <w:b/>
          <w:sz w:val="24"/>
          <w:szCs w:val="24"/>
          <w:lang w:val="bg-BG"/>
        </w:rPr>
        <w:t>по реда на Постановление № 160  от 1 юли 2016 г.</w:t>
      </w:r>
    </w:p>
    <w:p w:rsidR="00EE00E9" w:rsidRPr="00385298" w:rsidRDefault="00EE00E9" w:rsidP="00EE00E9">
      <w:pPr>
        <w:jc w:val="center"/>
        <w:rPr>
          <w:rFonts w:ascii="Times New Roman" w:hAnsi="Times New Roman" w:cs="Times New Roman"/>
          <w:sz w:val="24"/>
          <w:szCs w:val="24"/>
          <w:lang w:val="bg-BG"/>
        </w:rPr>
      </w:pPr>
    </w:p>
    <w:p w:rsidR="00EE00E9" w:rsidRPr="00385298" w:rsidRDefault="00EE00E9" w:rsidP="00EE00E9">
      <w:pPr>
        <w:pStyle w:val="ListParagraph"/>
        <w:ind w:left="0"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Във връзка с възникнали неясноти и установени трудности, срещани от кандидатите по подмерки 4.1 и 4.2 при осъществяването на процедури за избор на изпълнител по реда и при условията на Постановление № 160 от 1 юли 2016 г. за определяне на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които бяха дискутирани в рамките на проведеното 20-то заседание на Комитета за наблюдение на ПРСР, Управляващият орган предлага за по-голяма яснота на кандидатите и бенефициентите по Програмата в мярка 4 „Инвестиции в материални активи“ да се добави текст, който да изяснява начина за избор на изпълнители за заявените дейности и разходи.</w:t>
      </w:r>
    </w:p>
    <w:p w:rsidR="00EE00E9" w:rsidRPr="00385298" w:rsidRDefault="00EE00E9" w:rsidP="00EE00E9">
      <w:pPr>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Това ще даде яснота при транспонирането на нормативно заложените текстове и възможност за коректно изпълнение на изискванията на закона, а от друга страна ще намали административната тежест за кандидатите. </w:t>
      </w:r>
    </w:p>
    <w:p w:rsidR="00EE00E9" w:rsidRPr="00385298" w:rsidRDefault="00EE00E9" w:rsidP="00EE00E9">
      <w:pPr>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В тази връзка представяме проект на промени в текста на мярка 4 „Инвестиции в материални активи“:</w:t>
      </w:r>
    </w:p>
    <w:tbl>
      <w:tblPr>
        <w:tblpPr w:leftFromText="180" w:rightFromText="180" w:vertAnchor="text" w:horzAnchor="margin" w:tblpX="269" w:tblpY="510"/>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989"/>
        <w:gridCol w:w="2497"/>
        <w:gridCol w:w="6486"/>
      </w:tblGrid>
      <w:tr w:rsidR="00EE00E9" w:rsidRPr="00385298" w:rsidTr="00EE00E9">
        <w:tc>
          <w:tcPr>
            <w:tcW w:w="350" w:type="pct"/>
            <w:shd w:val="clear" w:color="auto" w:fill="D9D9D9"/>
            <w:vAlign w:val="center"/>
          </w:tcPr>
          <w:p w:rsidR="00EE00E9" w:rsidRPr="00385298" w:rsidRDefault="00EE00E9" w:rsidP="00EE00E9">
            <w:pPr>
              <w:spacing w:after="0" w:line="240" w:lineRule="auto"/>
              <w:jc w:val="center"/>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w:t>
            </w:r>
          </w:p>
        </w:tc>
        <w:tc>
          <w:tcPr>
            <w:tcW w:w="1430" w:type="pct"/>
            <w:shd w:val="clear" w:color="auto" w:fill="D9D9D9"/>
            <w:vAlign w:val="center"/>
          </w:tcPr>
          <w:p w:rsidR="00EE00E9" w:rsidRPr="00385298" w:rsidRDefault="00EE00E9" w:rsidP="00EE00E9">
            <w:pPr>
              <w:spacing w:after="0" w:line="240" w:lineRule="auto"/>
              <w:jc w:val="center"/>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Част от ПРСР в която се прави предложение за промяна</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00E9" w:rsidRPr="00385298" w:rsidRDefault="00EE00E9" w:rsidP="00EE00E9">
            <w:pPr>
              <w:contextualSpacing/>
              <w:jc w:val="center"/>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Настоящ текст в ПРСР 2014-2020 г. (15-то изменение)</w:t>
            </w:r>
          </w:p>
        </w:tc>
        <w:tc>
          <w:tcPr>
            <w:tcW w:w="2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00E9" w:rsidRPr="00385298" w:rsidRDefault="00EE00E9" w:rsidP="00EE00E9">
            <w:pPr>
              <w:contextualSpacing/>
              <w:jc w:val="center"/>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Предложение за нов текст в ПРСР 2014-2020 г.</w:t>
            </w:r>
          </w:p>
        </w:tc>
      </w:tr>
      <w:tr w:rsidR="00EE00E9" w:rsidRPr="00385298" w:rsidTr="00EE00E9">
        <w:trPr>
          <w:trHeight w:val="478"/>
        </w:trPr>
        <w:tc>
          <w:tcPr>
            <w:tcW w:w="5000" w:type="pct"/>
            <w:gridSpan w:val="4"/>
            <w:tcBorders>
              <w:bottom w:val="single" w:sz="4" w:space="0" w:color="auto"/>
            </w:tcBorders>
            <w:shd w:val="clear" w:color="auto" w:fill="D9D9D9"/>
            <w:vAlign w:val="center"/>
          </w:tcPr>
          <w:p w:rsidR="00EE00E9" w:rsidRPr="00385298" w:rsidRDefault="00EE00E9" w:rsidP="00EE00E9">
            <w:pPr>
              <w:spacing w:after="0" w:line="240" w:lineRule="auto"/>
              <w:rPr>
                <w:rFonts w:ascii="Times New Roman" w:eastAsia="Calibri" w:hAnsi="Times New Roman" w:cs="Times New Roman"/>
                <w:sz w:val="24"/>
                <w:szCs w:val="24"/>
                <w:lang w:val="bg-BG"/>
              </w:rPr>
            </w:pPr>
            <w:r w:rsidRPr="00385298">
              <w:rPr>
                <w:rFonts w:ascii="Times New Roman" w:eastAsia="Calibri" w:hAnsi="Times New Roman" w:cs="Times New Roman"/>
                <w:sz w:val="24"/>
                <w:szCs w:val="24"/>
                <w:lang w:val="bg-BG"/>
              </w:rPr>
              <w:t>8.2.3. M04 — Инвестиции в материални активи (член 17)</w:t>
            </w:r>
          </w:p>
        </w:tc>
      </w:tr>
      <w:tr w:rsidR="00EE00E9" w:rsidRPr="00385298" w:rsidTr="00EE00E9">
        <w:trPr>
          <w:trHeight w:val="898"/>
        </w:trPr>
        <w:tc>
          <w:tcPr>
            <w:tcW w:w="350" w:type="pct"/>
            <w:shd w:val="clear" w:color="auto" w:fill="auto"/>
            <w:vAlign w:val="center"/>
          </w:tcPr>
          <w:p w:rsidR="00EE00E9" w:rsidRPr="00385298" w:rsidRDefault="00EE00E9" w:rsidP="00EE00E9">
            <w:pPr>
              <w:spacing w:after="0" w:line="240" w:lineRule="auto"/>
              <w:jc w:val="center"/>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1</w:t>
            </w:r>
          </w:p>
        </w:tc>
        <w:tc>
          <w:tcPr>
            <w:tcW w:w="1430" w:type="pct"/>
            <w:shd w:val="clear" w:color="auto" w:fill="auto"/>
            <w:vAlign w:val="center"/>
          </w:tcPr>
          <w:p w:rsidR="00EE00E9" w:rsidRPr="00385298" w:rsidRDefault="00EE00E9" w:rsidP="00EE00E9">
            <w:pPr>
              <w:spacing w:after="0" w:line="240" w:lineRule="auto"/>
              <w:rPr>
                <w:rFonts w:ascii="Times New Roman" w:eastAsia="Calibri" w:hAnsi="Times New Roman" w:cs="Times New Roman"/>
                <w:bCs/>
                <w:sz w:val="24"/>
                <w:szCs w:val="24"/>
                <w:lang w:val="bg-BG"/>
              </w:rPr>
            </w:pPr>
            <w:r w:rsidRPr="00385298">
              <w:rPr>
                <w:rFonts w:ascii="Times New Roman" w:eastAsia="Times New Roman" w:hAnsi="Times New Roman" w:cs="Times New Roman"/>
                <w:sz w:val="24"/>
                <w:szCs w:val="24"/>
                <w:lang w:val="bg-BG"/>
              </w:rPr>
              <w:t>8.2.3.7 „Друга важна информация, необходима за по-доброто разбиране и прилагане на мярката“</w:t>
            </w:r>
          </w:p>
        </w:tc>
        <w:tc>
          <w:tcPr>
            <w:tcW w:w="895" w:type="pct"/>
            <w:shd w:val="clear" w:color="auto" w:fill="auto"/>
            <w:vAlign w:val="center"/>
          </w:tcPr>
          <w:p w:rsidR="00EE00E9" w:rsidRPr="00385298" w:rsidRDefault="00EE00E9" w:rsidP="00EE00E9">
            <w:pPr>
              <w:spacing w:after="0" w:line="240" w:lineRule="auto"/>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w:t>
            </w:r>
          </w:p>
        </w:tc>
        <w:tc>
          <w:tcPr>
            <w:tcW w:w="2325" w:type="pct"/>
            <w:shd w:val="clear" w:color="auto" w:fill="auto"/>
            <w:vAlign w:val="center"/>
          </w:tcPr>
          <w:p w:rsidR="00EE00E9" w:rsidRPr="00385298" w:rsidRDefault="00EE00E9" w:rsidP="00EE00E9">
            <w:pPr>
              <w:spacing w:after="0" w:line="240" w:lineRule="auto"/>
              <w:jc w:val="both"/>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Добавя се текст:</w:t>
            </w:r>
          </w:p>
          <w:p w:rsidR="00EE00E9" w:rsidRPr="00385298" w:rsidRDefault="00EE00E9" w:rsidP="00EE00E9">
            <w:pPr>
              <w:spacing w:after="0" w:line="240" w:lineRule="auto"/>
              <w:jc w:val="both"/>
              <w:rPr>
                <w:rFonts w:ascii="Times New Roman" w:eastAsia="Calibri" w:hAnsi="Times New Roman" w:cs="Times New Roman"/>
                <w:b/>
                <w:bCs/>
                <w:color w:val="FF0000"/>
                <w:sz w:val="24"/>
                <w:szCs w:val="24"/>
                <w:lang w:val="bg-BG"/>
              </w:rPr>
            </w:pPr>
          </w:p>
          <w:p w:rsidR="00EE00E9" w:rsidRPr="00385298" w:rsidRDefault="00EE00E9" w:rsidP="00EE00E9">
            <w:pPr>
              <w:spacing w:after="0" w:line="240" w:lineRule="auto"/>
              <w:jc w:val="both"/>
              <w:rPr>
                <w:rFonts w:ascii="Times New Roman" w:eastAsia="Calibri" w:hAnsi="Times New Roman" w:cs="Times New Roman"/>
                <w:b/>
                <w:bCs/>
                <w:color w:val="FF0000"/>
                <w:sz w:val="24"/>
                <w:szCs w:val="24"/>
                <w:u w:val="single"/>
                <w:lang w:val="bg-BG"/>
              </w:rPr>
            </w:pPr>
            <w:r w:rsidRPr="00385298">
              <w:rPr>
                <w:rFonts w:ascii="Times New Roman" w:eastAsia="Calibri" w:hAnsi="Times New Roman" w:cs="Times New Roman"/>
                <w:b/>
                <w:bCs/>
                <w:color w:val="FF0000"/>
                <w:sz w:val="24"/>
                <w:szCs w:val="24"/>
                <w:u w:val="single"/>
                <w:lang w:val="bg-BG"/>
              </w:rPr>
              <w:t>Процедури за избор на изпълнители по подмярка 4.1 и подмярка 4.2:</w:t>
            </w:r>
          </w:p>
          <w:p w:rsidR="00EE00E9" w:rsidRPr="00385298" w:rsidRDefault="00EE00E9" w:rsidP="00EE00E9">
            <w:pPr>
              <w:spacing w:after="0" w:line="240" w:lineRule="auto"/>
              <w:jc w:val="both"/>
              <w:rPr>
                <w:rFonts w:ascii="Times New Roman" w:eastAsia="Calibri" w:hAnsi="Times New Roman" w:cs="Times New Roman"/>
                <w:bCs/>
                <w:color w:val="FF0000"/>
                <w:sz w:val="24"/>
                <w:szCs w:val="24"/>
                <w:u w:val="single"/>
                <w:lang w:val="bg-BG"/>
              </w:rPr>
            </w:pPr>
          </w:p>
          <w:p w:rsidR="00EE00E9" w:rsidRPr="00385298" w:rsidRDefault="00EE00E9" w:rsidP="00EE00E9">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color w:val="FF0000"/>
                <w:sz w:val="24"/>
                <w:szCs w:val="24"/>
                <w:u w:val="single"/>
                <w:lang w:val="bg-BG"/>
              </w:rPr>
              <w:t>Процедура за избор на изпълнител по реда на Постановление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се провежда от кандидати/бенефициенти, които не са възложители по смисъла на Закона обществените поръчки, в случаите, когато размерът на предоставената (одобрената) безвъзмездна финансова помощ е по-голям от 50 на сто от общата сума на одобрения проект, както и за специфични разходи, описани в националните правила за прилагане на подмерките.</w:t>
            </w:r>
          </w:p>
        </w:tc>
      </w:tr>
    </w:tbl>
    <w:p w:rsidR="00EE00E9" w:rsidRPr="00385298" w:rsidRDefault="00EE00E9" w:rsidP="00EE00E9">
      <w:pPr>
        <w:ind w:firstLine="709"/>
        <w:jc w:val="both"/>
        <w:rPr>
          <w:rFonts w:ascii="Times New Roman" w:hAnsi="Times New Roman" w:cs="Times New Roman"/>
          <w:sz w:val="24"/>
          <w:szCs w:val="24"/>
          <w:lang w:val="bg-BG"/>
        </w:rPr>
      </w:pPr>
    </w:p>
    <w:p w:rsidR="00EE00E9" w:rsidRPr="00385298" w:rsidRDefault="00EE00E9" w:rsidP="00DD44C7">
      <w:pPr>
        <w:spacing w:after="0" w:line="240" w:lineRule="auto"/>
        <w:contextualSpacing/>
        <w:rPr>
          <w:rFonts w:ascii="Times New Roman" w:hAnsi="Times New Roman" w:cs="Times New Roman"/>
          <w:b/>
          <w:i/>
          <w:sz w:val="24"/>
          <w:szCs w:val="24"/>
          <w:u w:val="single"/>
          <w:lang w:val="bg-BG"/>
        </w:rPr>
      </w:pPr>
    </w:p>
    <w:p w:rsidR="00EE00E9" w:rsidRPr="00385298" w:rsidRDefault="00EE00E9" w:rsidP="00DD44C7">
      <w:pPr>
        <w:spacing w:after="0" w:line="240" w:lineRule="auto"/>
        <w:contextualSpacing/>
        <w:rPr>
          <w:rFonts w:ascii="Times New Roman" w:hAnsi="Times New Roman" w:cs="Times New Roman"/>
          <w:b/>
          <w:i/>
          <w:sz w:val="24"/>
          <w:szCs w:val="24"/>
          <w:u w:val="single"/>
          <w:lang w:val="bg-BG"/>
        </w:rPr>
      </w:pPr>
    </w:p>
    <w:p w:rsidR="00EE00E9" w:rsidRPr="00385298" w:rsidRDefault="00EE00E9" w:rsidP="00DD44C7">
      <w:pPr>
        <w:spacing w:after="0" w:line="240" w:lineRule="auto"/>
        <w:contextualSpacing/>
        <w:rPr>
          <w:rFonts w:ascii="Times New Roman" w:hAnsi="Times New Roman" w:cs="Times New Roman"/>
          <w:b/>
          <w:i/>
          <w:sz w:val="24"/>
          <w:szCs w:val="24"/>
          <w:u w:val="single"/>
          <w:lang w:val="bg-BG"/>
        </w:rPr>
      </w:pPr>
    </w:p>
    <w:p w:rsidR="00DD44C7" w:rsidRPr="00385298" w:rsidRDefault="00DD44C7" w:rsidP="00DD44C7">
      <w:pPr>
        <w:spacing w:after="0" w:line="240" w:lineRule="auto"/>
        <w:contextualSpacing/>
        <w:rPr>
          <w:rFonts w:ascii="Times New Roman" w:hAnsi="Times New Roman" w:cs="Times New Roman"/>
          <w:b/>
          <w:i/>
          <w:sz w:val="24"/>
          <w:szCs w:val="24"/>
          <w:u w:val="single"/>
          <w:lang w:val="bg-BG"/>
        </w:rPr>
      </w:pPr>
      <w:r w:rsidRPr="00385298">
        <w:rPr>
          <w:rFonts w:ascii="Times New Roman" w:hAnsi="Times New Roman" w:cs="Times New Roman"/>
          <w:b/>
          <w:i/>
          <w:sz w:val="24"/>
          <w:szCs w:val="24"/>
          <w:u w:val="single"/>
          <w:lang w:val="bg-BG"/>
        </w:rPr>
        <w:t>Приложение 6</w:t>
      </w:r>
    </w:p>
    <w:p w:rsidR="00DD44C7" w:rsidRPr="00385298" w:rsidRDefault="00DD44C7" w:rsidP="00DD44C7">
      <w:pPr>
        <w:spacing w:after="0" w:line="240" w:lineRule="auto"/>
        <w:jc w:val="both"/>
        <w:outlineLvl w:val="0"/>
        <w:rPr>
          <w:rFonts w:ascii="Times New Roman" w:eastAsia="Times New Roman" w:hAnsi="Times New Roman" w:cs="Times New Roman"/>
          <w:i/>
          <w:sz w:val="24"/>
          <w:szCs w:val="24"/>
          <w:lang w:val="bg-BG" w:eastAsia="bg-BG"/>
        </w:rPr>
      </w:pPr>
    </w:p>
    <w:p w:rsidR="00DD44C7" w:rsidRPr="00385298" w:rsidRDefault="00DD44C7" w:rsidP="00DD44C7">
      <w:pPr>
        <w:spacing w:line="240" w:lineRule="auto"/>
        <w:jc w:val="both"/>
        <w:rPr>
          <w:rFonts w:ascii="Times New Roman" w:hAnsi="Times New Roman" w:cs="Times New Roman"/>
          <w:b/>
          <w:sz w:val="24"/>
          <w:szCs w:val="24"/>
          <w:lang w:val="bg-BG"/>
        </w:rPr>
      </w:pPr>
      <w:r w:rsidRPr="00385298">
        <w:rPr>
          <w:rFonts w:ascii="Times New Roman" w:hAnsi="Times New Roman" w:cs="Times New Roman"/>
          <w:b/>
          <w:sz w:val="24"/>
          <w:szCs w:val="24"/>
          <w:lang w:val="bg-BG"/>
        </w:rPr>
        <w:t>Предложение за допълнение на текста на 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(ПРСР) 2014-2020 г.</w:t>
      </w:r>
    </w:p>
    <w:p w:rsidR="00DD44C7" w:rsidRPr="00385298" w:rsidRDefault="00DD44C7" w:rsidP="00DD44C7">
      <w:pPr>
        <w:spacing w:line="240" w:lineRule="auto"/>
        <w:jc w:val="both"/>
        <w:rPr>
          <w:rFonts w:ascii="Times New Roman" w:hAnsi="Times New Roman" w:cs="Times New Roman"/>
          <w:sz w:val="24"/>
          <w:szCs w:val="24"/>
          <w:lang w:val="bg-BG"/>
        </w:rPr>
      </w:pPr>
    </w:p>
    <w:p w:rsidR="00DD44C7" w:rsidRPr="00385298" w:rsidRDefault="00DD44C7" w:rsidP="00DD44C7">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През 2015 г. по реда на Наредба № 20 от 27.10.2015 г. за прилагане на 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 e отворен прием по подмярката. Със Заповед № РД09-781 от 6.11.2015 г. на министъра на земеделието и храните е определен период на прием на заявления за подпомагане с начална дата 06.11.2015 г. и крайна дата 18.12.2015 г. Част от приложимите критерии за оценка са свързани както със съществуващи работни места, така и с откриването на нови такива.</w:t>
      </w:r>
    </w:p>
    <w:p w:rsidR="00DD44C7" w:rsidRPr="00385298" w:rsidRDefault="00DD44C7" w:rsidP="00DD44C7">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Със Заповед № РД09-689 от 17.09.2016 г. на министъра на земеделието и храните и Заповед № РД09-6 от 05.01.2018 г. на министъра на земеделието, храните и горите е увеличен бюджета на приема. С това действие е предоставена възможност на повече подадени проектни предложения, отговарящи на условията за допустимост и критериите на оценка, да бъдат одобрени.</w:t>
      </w:r>
    </w:p>
    <w:p w:rsidR="00DD44C7" w:rsidRPr="00385298" w:rsidRDefault="00DD44C7" w:rsidP="00DD44C7">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Възникналите в процеса на изпълнение на одобрените проекти кризи, свързани с COVID-19 и руското нашествие в Украйна, поставят бенефициентите пред редица предизвикателства, свързани с икономическото им оцеляване, преструктуриране и оптимизация. Един от методите за справяне с кризите е чрез преструктуриране на работните места, спрямо годините преди подаване на заявленията за подпомагане.</w:t>
      </w:r>
    </w:p>
    <w:p w:rsidR="00DD44C7" w:rsidRPr="00385298" w:rsidRDefault="00DD44C7" w:rsidP="00DD44C7">
      <w:pPr>
        <w:spacing w:after="0" w:line="240" w:lineRule="auto"/>
        <w:ind w:firstLine="709"/>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Постъпили са коментари и предложения от бенефициенти и от членове на Комитета за наблюдение на ПРСР за актуализиране на изискванията за поддържане съответствие с критериите за подбор след одобрение на проекта спрямо динамичната икономическа обстановка, водеща до постоянно променящи се пазарни условия, които оказват негативен ефект върху устойчивостта на инвестициите. </w:t>
      </w:r>
    </w:p>
    <w:p w:rsidR="00DD44C7" w:rsidRPr="00385298" w:rsidRDefault="00DD44C7" w:rsidP="00DD44C7">
      <w:pPr>
        <w:spacing w:after="0" w:line="240" w:lineRule="auto"/>
        <w:ind w:firstLine="709"/>
        <w:contextualSpacing/>
        <w:jc w:val="both"/>
        <w:rPr>
          <w:rFonts w:ascii="Times New Roman" w:hAnsi="Times New Roman" w:cs="Times New Roman"/>
          <w:sz w:val="24"/>
          <w:szCs w:val="24"/>
          <w:lang w:val="bg-BG"/>
        </w:rPr>
      </w:pPr>
      <w:r w:rsidRPr="00385298">
        <w:rPr>
          <w:rFonts w:ascii="Times New Roman" w:hAnsi="Times New Roman" w:cs="Times New Roman"/>
          <w:sz w:val="24"/>
          <w:szCs w:val="24"/>
          <w:lang w:val="bg-BG"/>
        </w:rPr>
        <w:t>В тази връзка се предлага следното изменение в текстовете на подмярка 4.2. „Инвестиции в преработка/маркетинг на селскостопански продукти</w:t>
      </w:r>
    </w:p>
    <w:p w:rsidR="003B163C" w:rsidRPr="00385298" w:rsidRDefault="003B163C" w:rsidP="00DD44C7">
      <w:pPr>
        <w:spacing w:after="0" w:line="240" w:lineRule="auto"/>
        <w:ind w:firstLine="709"/>
        <w:contextualSpacing/>
        <w:jc w:val="both"/>
        <w:rPr>
          <w:rFonts w:ascii="Times New Roman" w:hAnsi="Times New Roman" w:cs="Times New Roman"/>
          <w:sz w:val="24"/>
          <w:szCs w:val="24"/>
          <w:lang w:val="bg-BG"/>
        </w:rPr>
      </w:pPr>
    </w:p>
    <w:p w:rsidR="003B163C" w:rsidRPr="00385298" w:rsidRDefault="003B163C" w:rsidP="00DD44C7">
      <w:pPr>
        <w:spacing w:after="0" w:line="240" w:lineRule="auto"/>
        <w:ind w:firstLine="709"/>
        <w:contextualSpacing/>
        <w:jc w:val="both"/>
        <w:rPr>
          <w:rFonts w:ascii="Times New Roman" w:hAnsi="Times New Roman" w:cs="Times New Roman"/>
          <w:sz w:val="24"/>
          <w:szCs w:val="24"/>
          <w:lang w:val="bg-BG"/>
        </w:rPr>
      </w:pPr>
    </w:p>
    <w:tbl>
      <w:tblPr>
        <w:tblpPr w:leftFromText="180" w:rightFromText="180" w:vertAnchor="text" w:horzAnchor="margin" w:tblpX="-10" w:tblpY="5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570"/>
        <w:gridCol w:w="4716"/>
        <w:gridCol w:w="5889"/>
      </w:tblGrid>
      <w:tr w:rsidR="00715566" w:rsidRPr="00385298" w:rsidTr="00715566">
        <w:tc>
          <w:tcPr>
            <w:tcW w:w="340" w:type="pct"/>
            <w:shd w:val="clear" w:color="auto" w:fill="D9D9D9"/>
            <w:vAlign w:val="center"/>
          </w:tcPr>
          <w:p w:rsidR="00715566" w:rsidRPr="00385298" w:rsidRDefault="00715566" w:rsidP="00715566">
            <w:pPr>
              <w:spacing w:after="0" w:line="240" w:lineRule="auto"/>
              <w:jc w:val="center"/>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w:t>
            </w:r>
          </w:p>
        </w:tc>
        <w:tc>
          <w:tcPr>
            <w:tcW w:w="909" w:type="pct"/>
            <w:shd w:val="clear" w:color="auto" w:fill="D9D9D9"/>
            <w:vAlign w:val="center"/>
          </w:tcPr>
          <w:p w:rsidR="00715566" w:rsidRPr="00385298" w:rsidRDefault="00715566" w:rsidP="00715566">
            <w:pPr>
              <w:spacing w:after="0" w:line="240" w:lineRule="auto"/>
              <w:jc w:val="center"/>
              <w:rPr>
                <w:rFonts w:ascii="Times New Roman" w:eastAsia="Calibri" w:hAnsi="Times New Roman" w:cs="Times New Roman"/>
                <w:b/>
                <w:bCs/>
                <w:sz w:val="24"/>
                <w:szCs w:val="24"/>
                <w:lang w:val="bg-BG"/>
              </w:rPr>
            </w:pPr>
            <w:r w:rsidRPr="00385298">
              <w:rPr>
                <w:rFonts w:ascii="Times New Roman" w:eastAsia="Calibri" w:hAnsi="Times New Roman" w:cs="Times New Roman"/>
                <w:b/>
                <w:bCs/>
                <w:sz w:val="24"/>
                <w:szCs w:val="24"/>
                <w:lang w:val="bg-BG"/>
              </w:rPr>
              <w:t>Част от ПРСР в която се прави предложение за промяна</w:t>
            </w:r>
          </w:p>
        </w:tc>
        <w:tc>
          <w:tcPr>
            <w:tcW w:w="1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566" w:rsidRPr="00385298" w:rsidRDefault="00715566" w:rsidP="00715566">
            <w:pPr>
              <w:contextualSpacing/>
              <w:jc w:val="center"/>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Настоящ текст в ПРСР 2014-2020 г. (15-то изменение)</w:t>
            </w:r>
          </w:p>
        </w:tc>
        <w:tc>
          <w:tcPr>
            <w:tcW w:w="20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566" w:rsidRPr="00385298" w:rsidRDefault="00715566" w:rsidP="00715566">
            <w:pPr>
              <w:contextualSpacing/>
              <w:jc w:val="center"/>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Предложение за нов текст в ПРСР 2014-2020 г.</w:t>
            </w:r>
          </w:p>
        </w:tc>
      </w:tr>
      <w:tr w:rsidR="00715566" w:rsidRPr="00385298" w:rsidTr="00715566">
        <w:trPr>
          <w:trHeight w:val="478"/>
        </w:trPr>
        <w:tc>
          <w:tcPr>
            <w:tcW w:w="5000" w:type="pct"/>
            <w:gridSpan w:val="4"/>
            <w:tcBorders>
              <w:bottom w:val="single" w:sz="4" w:space="0" w:color="auto"/>
            </w:tcBorders>
            <w:shd w:val="clear" w:color="auto" w:fill="D9D9D9"/>
            <w:vAlign w:val="center"/>
          </w:tcPr>
          <w:p w:rsidR="00715566" w:rsidRPr="00385298" w:rsidRDefault="00715566" w:rsidP="00715566">
            <w:pPr>
              <w:spacing w:after="0" w:line="240" w:lineRule="auto"/>
              <w:rPr>
                <w:rFonts w:ascii="Times New Roman" w:eastAsia="Calibri" w:hAnsi="Times New Roman" w:cs="Times New Roman"/>
                <w:sz w:val="24"/>
                <w:szCs w:val="24"/>
                <w:lang w:val="bg-BG"/>
              </w:rPr>
            </w:pPr>
            <w:r w:rsidRPr="00385298">
              <w:rPr>
                <w:rFonts w:ascii="Times New Roman" w:eastAsia="Calibri" w:hAnsi="Times New Roman" w:cs="Times New Roman"/>
                <w:sz w:val="24"/>
                <w:szCs w:val="24"/>
                <w:lang w:val="bg-BG"/>
              </w:rPr>
              <w:t xml:space="preserve">Подмярка - </w:t>
            </w:r>
            <w:r w:rsidRPr="00385298">
              <w:rPr>
                <w:rFonts w:ascii="Times New Roman" w:eastAsia="Calibri" w:hAnsi="Times New Roman" w:cs="Times New Roman"/>
                <w:bCs/>
                <w:sz w:val="24"/>
                <w:szCs w:val="24"/>
                <w:lang w:val="bg-BG"/>
              </w:rPr>
              <w:t>4.2. „Инвестиции в преработка/маркетинг на селскостопански продукти"</w:t>
            </w:r>
          </w:p>
        </w:tc>
      </w:tr>
      <w:tr w:rsidR="00715566" w:rsidRPr="00385298" w:rsidTr="00715566">
        <w:trPr>
          <w:trHeight w:val="898"/>
        </w:trPr>
        <w:tc>
          <w:tcPr>
            <w:tcW w:w="340" w:type="pct"/>
            <w:shd w:val="clear" w:color="auto" w:fill="auto"/>
            <w:vAlign w:val="center"/>
          </w:tcPr>
          <w:p w:rsidR="00715566" w:rsidRPr="00385298" w:rsidRDefault="00715566" w:rsidP="00715566">
            <w:pPr>
              <w:spacing w:after="0" w:line="240" w:lineRule="auto"/>
              <w:jc w:val="center"/>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1</w:t>
            </w:r>
          </w:p>
        </w:tc>
        <w:tc>
          <w:tcPr>
            <w:tcW w:w="909" w:type="pct"/>
            <w:shd w:val="clear" w:color="auto" w:fill="auto"/>
            <w:vAlign w:val="center"/>
          </w:tcPr>
          <w:p w:rsidR="00715566" w:rsidRPr="00385298" w:rsidRDefault="00715566" w:rsidP="00715566">
            <w:pPr>
              <w:spacing w:after="0" w:line="240" w:lineRule="auto"/>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8.2.3.3.3.12.1.</w:t>
            </w:r>
          </w:p>
          <w:p w:rsidR="00715566" w:rsidRPr="00385298" w:rsidRDefault="00715566" w:rsidP="00715566">
            <w:pPr>
              <w:spacing w:after="0" w:line="240" w:lineRule="auto"/>
              <w:rPr>
                <w:rFonts w:ascii="Times New Roman" w:eastAsia="Calibri" w:hAnsi="Times New Roman" w:cs="Times New Roman"/>
                <w:bCs/>
                <w:sz w:val="24"/>
                <w:szCs w:val="24"/>
                <w:lang w:val="bg-BG"/>
              </w:rPr>
            </w:pPr>
            <w:r w:rsidRPr="00385298">
              <w:rPr>
                <w:rFonts w:ascii="Times New Roman" w:eastAsia="Times New Roman" w:hAnsi="Times New Roman" w:cs="Times New Roman"/>
                <w:sz w:val="24"/>
                <w:szCs w:val="24"/>
                <w:lang w:val="bg-BG"/>
              </w:rPr>
              <w:t xml:space="preserve">Риск(ове) при изпълнението на мерките . </w:t>
            </w:r>
          </w:p>
        </w:tc>
        <w:tc>
          <w:tcPr>
            <w:tcW w:w="1668" w:type="pct"/>
            <w:shd w:val="clear" w:color="auto" w:fill="auto"/>
            <w:vAlign w:val="center"/>
          </w:tcPr>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7. Съществува риск от изкуствено създадени условия за получаване на приоритет, както и неправилно насочване на помощта във връзка с неясни критерии за подбор;</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p>
        </w:tc>
        <w:tc>
          <w:tcPr>
            <w:tcW w:w="2083" w:type="pct"/>
            <w:shd w:val="clear" w:color="auto" w:fill="auto"/>
            <w:vAlign w:val="center"/>
          </w:tcPr>
          <w:p w:rsidR="00715566" w:rsidRPr="00385298" w:rsidRDefault="00715566" w:rsidP="00715566">
            <w:pPr>
              <w:spacing w:after="0" w:line="240" w:lineRule="auto"/>
              <w:jc w:val="both"/>
              <w:rPr>
                <w:rFonts w:ascii="Times New Roman" w:eastAsia="Calibri" w:hAnsi="Times New Roman" w:cs="Times New Roman"/>
                <w:b/>
                <w:bCs/>
                <w:color w:val="FF0000"/>
                <w:sz w:val="24"/>
                <w:szCs w:val="24"/>
                <w:u w:val="single"/>
                <w:lang w:val="bg-BG"/>
              </w:rPr>
            </w:pPr>
            <w:r w:rsidRPr="00385298">
              <w:rPr>
                <w:rFonts w:ascii="Times New Roman" w:eastAsia="Calibri" w:hAnsi="Times New Roman" w:cs="Times New Roman"/>
                <w:bCs/>
                <w:sz w:val="24"/>
                <w:szCs w:val="24"/>
                <w:lang w:val="bg-BG"/>
              </w:rPr>
              <w:t xml:space="preserve">7. Съществува риск от изкуствено създадени условия за получаване на приоритет, както и неправилно насочване на помощта във връзка с неясни критерии за подбор. </w:t>
            </w:r>
            <w:r w:rsidRPr="00385298">
              <w:rPr>
                <w:rFonts w:ascii="Times New Roman" w:eastAsia="Calibri" w:hAnsi="Times New Roman" w:cs="Times New Roman"/>
                <w:b/>
                <w:bCs/>
                <w:color w:val="FF0000"/>
                <w:sz w:val="24"/>
                <w:szCs w:val="24"/>
                <w:u w:val="single"/>
                <w:lang w:val="bg-BG"/>
              </w:rPr>
              <w:t>След резките промени в икономическа обстановка, в резултат на COVID 19  и руската инвазия в Украйна, съществува риск за поддържане съответствието с критериите за подбор, за които е получен приоритет.</w:t>
            </w:r>
          </w:p>
          <w:p w:rsidR="00715566" w:rsidRPr="00385298" w:rsidRDefault="00715566" w:rsidP="00715566">
            <w:pPr>
              <w:spacing w:after="0"/>
              <w:jc w:val="both"/>
              <w:rPr>
                <w:rFonts w:ascii="Times New Roman" w:eastAsia="Calibri" w:hAnsi="Times New Roman" w:cs="Times New Roman"/>
                <w:bCs/>
                <w:sz w:val="24"/>
                <w:szCs w:val="24"/>
                <w:lang w:val="bg-BG"/>
              </w:rPr>
            </w:pPr>
          </w:p>
        </w:tc>
      </w:tr>
      <w:tr w:rsidR="00715566" w:rsidRPr="00385298" w:rsidTr="00715566">
        <w:trPr>
          <w:trHeight w:val="898"/>
        </w:trPr>
        <w:tc>
          <w:tcPr>
            <w:tcW w:w="340" w:type="pct"/>
            <w:shd w:val="clear" w:color="auto" w:fill="auto"/>
            <w:vAlign w:val="center"/>
          </w:tcPr>
          <w:p w:rsidR="00715566" w:rsidRPr="00385298" w:rsidRDefault="00715566" w:rsidP="00715566">
            <w:pPr>
              <w:spacing w:after="0" w:line="240" w:lineRule="auto"/>
              <w:jc w:val="center"/>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lastRenderedPageBreak/>
              <w:t>2</w:t>
            </w:r>
          </w:p>
        </w:tc>
        <w:tc>
          <w:tcPr>
            <w:tcW w:w="909" w:type="pct"/>
            <w:shd w:val="clear" w:color="auto" w:fill="auto"/>
            <w:vAlign w:val="center"/>
          </w:tcPr>
          <w:p w:rsidR="00715566" w:rsidRPr="00385298" w:rsidRDefault="00715566" w:rsidP="00715566">
            <w:pPr>
              <w:spacing w:after="0" w:line="240" w:lineRule="auto"/>
              <w:rPr>
                <w:rFonts w:ascii="Times New Roman" w:eastAsia="Times New Roman" w:hAnsi="Times New Roman" w:cs="Times New Roman"/>
                <w:sz w:val="24"/>
                <w:szCs w:val="24"/>
                <w:lang w:val="bg-BG"/>
              </w:rPr>
            </w:pPr>
            <w:r w:rsidRPr="00385298">
              <w:rPr>
                <w:rFonts w:ascii="Times New Roman" w:eastAsia="Times New Roman" w:hAnsi="Times New Roman" w:cs="Times New Roman"/>
                <w:sz w:val="24"/>
                <w:szCs w:val="24"/>
                <w:lang w:val="bg-BG"/>
              </w:rPr>
              <w:t>8.2.3.3.3.12.2. Действия за смекчаване на последиците</w:t>
            </w:r>
          </w:p>
          <w:p w:rsidR="00715566" w:rsidRPr="00385298" w:rsidRDefault="00715566" w:rsidP="00715566">
            <w:pPr>
              <w:spacing w:after="0" w:line="240" w:lineRule="auto"/>
              <w:rPr>
                <w:rFonts w:ascii="Times New Roman" w:eastAsia="Times New Roman" w:hAnsi="Times New Roman" w:cs="Times New Roman"/>
                <w:sz w:val="24"/>
                <w:szCs w:val="24"/>
                <w:lang w:val="bg-BG"/>
              </w:rPr>
            </w:pPr>
          </w:p>
        </w:tc>
        <w:tc>
          <w:tcPr>
            <w:tcW w:w="1668" w:type="pct"/>
            <w:shd w:val="clear" w:color="auto" w:fill="auto"/>
            <w:vAlign w:val="center"/>
          </w:tcPr>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7.1. Дефиниране от Комитета по наблюдение на ясни, проверими и котролируеми критерии за подбор в съответствие с нуждите на програмата, гарантиращи правилното насочване на инвестициите;</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 xml:space="preserve">7.2. Изискване на документи в нормативната уредба </w:t>
            </w:r>
            <w:r w:rsidRPr="00385298">
              <w:rPr>
                <w:rFonts w:ascii="Times New Roman" w:eastAsia="Calibri" w:hAnsi="Times New Roman" w:cs="Times New Roman"/>
                <w:bCs/>
                <w:sz w:val="24"/>
                <w:szCs w:val="24"/>
                <w:u w:val="single"/>
                <w:lang w:val="bg-BG"/>
              </w:rPr>
              <w:t>или в насоките, или друг документ, определящ условията за кандидатстване и условията за изпълнение на одобрените проекти</w:t>
            </w:r>
            <w:r w:rsidRPr="00385298">
              <w:rPr>
                <w:rFonts w:ascii="Times New Roman" w:eastAsia="Calibri" w:hAnsi="Times New Roman" w:cs="Times New Roman"/>
                <w:bCs/>
                <w:sz w:val="24"/>
                <w:szCs w:val="24"/>
                <w:lang w:val="bg-BG"/>
              </w:rPr>
              <w:t>, даващи възможност за проверка и определяне на съответствието с определените приоритети;</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7.3. Контролните процедури включват елементи за проверка за наличие на изкуствено създадени условия;</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p>
        </w:tc>
        <w:tc>
          <w:tcPr>
            <w:tcW w:w="2083" w:type="pct"/>
            <w:shd w:val="clear" w:color="auto" w:fill="auto"/>
            <w:vAlign w:val="center"/>
          </w:tcPr>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7.1. Дефиниране от Комитета по наблюдение на ясни, проверими и котролируеми критерии за подбор в съответствие с нуждите на програмата, гарантиращи правилното насочване на инвестициите;</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 xml:space="preserve">7.2. Изискване на документи в нормативната уредба </w:t>
            </w:r>
            <w:r w:rsidRPr="00385298">
              <w:rPr>
                <w:rFonts w:ascii="Times New Roman" w:eastAsia="Calibri" w:hAnsi="Times New Roman" w:cs="Times New Roman"/>
                <w:bCs/>
                <w:sz w:val="24"/>
                <w:szCs w:val="24"/>
                <w:u w:val="single"/>
                <w:lang w:val="bg-BG"/>
              </w:rPr>
              <w:t>или в насоките, или друг документ, определящ условията за кандидатстване и условията за изпълнение на одобрените проекти</w:t>
            </w:r>
            <w:r w:rsidRPr="00385298">
              <w:rPr>
                <w:rFonts w:ascii="Times New Roman" w:eastAsia="Calibri" w:hAnsi="Times New Roman" w:cs="Times New Roman"/>
                <w:bCs/>
                <w:sz w:val="24"/>
                <w:szCs w:val="24"/>
                <w:lang w:val="bg-BG"/>
              </w:rPr>
              <w:t>, даващи възможност за проверка и определяне на съответствието с определените приоритети;</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Cs/>
                <w:sz w:val="24"/>
                <w:szCs w:val="24"/>
                <w:lang w:val="bg-BG"/>
              </w:rPr>
              <w:t>7.3. Контролните процедури включват елементи за проверка за наличие на изкуствено създадени условия;</w:t>
            </w:r>
          </w:p>
          <w:p w:rsidR="00715566" w:rsidRPr="00385298" w:rsidRDefault="00715566" w:rsidP="00715566">
            <w:pPr>
              <w:spacing w:after="0" w:line="240" w:lineRule="auto"/>
              <w:jc w:val="both"/>
              <w:rPr>
                <w:rFonts w:ascii="Times New Roman" w:eastAsia="Calibri" w:hAnsi="Times New Roman" w:cs="Times New Roman"/>
                <w:bCs/>
                <w:sz w:val="24"/>
                <w:szCs w:val="24"/>
                <w:lang w:val="bg-BG"/>
              </w:rPr>
            </w:pPr>
            <w:r w:rsidRPr="00385298">
              <w:rPr>
                <w:rFonts w:ascii="Times New Roman" w:eastAsia="Calibri" w:hAnsi="Times New Roman" w:cs="Times New Roman"/>
                <w:b/>
                <w:bCs/>
                <w:color w:val="FF0000"/>
                <w:sz w:val="24"/>
                <w:szCs w:val="24"/>
                <w:lang w:val="bg-BG"/>
              </w:rPr>
              <w:t>7</w:t>
            </w:r>
            <w:r w:rsidRPr="00385298">
              <w:rPr>
                <w:rFonts w:ascii="Times New Roman" w:eastAsia="Calibri" w:hAnsi="Times New Roman" w:cs="Times New Roman"/>
                <w:b/>
                <w:bCs/>
                <w:color w:val="FF0000"/>
                <w:sz w:val="24"/>
                <w:szCs w:val="24"/>
                <w:u w:val="single"/>
                <w:lang w:val="bg-BG"/>
              </w:rPr>
              <w:t>.4</w:t>
            </w:r>
            <w:r w:rsidRPr="00385298">
              <w:rPr>
                <w:rFonts w:ascii="Times New Roman" w:eastAsia="Calibri" w:hAnsi="Times New Roman" w:cs="Times New Roman"/>
                <w:bCs/>
                <w:sz w:val="24"/>
                <w:szCs w:val="24"/>
                <w:u w:val="single"/>
                <w:lang w:val="bg-BG"/>
              </w:rPr>
              <w:t xml:space="preserve">. </w:t>
            </w:r>
            <w:r w:rsidRPr="00385298">
              <w:rPr>
                <w:rFonts w:ascii="Times New Roman" w:eastAsia="Calibri" w:hAnsi="Times New Roman" w:cs="Times New Roman"/>
                <w:b/>
                <w:bCs/>
                <w:color w:val="FF0000"/>
                <w:sz w:val="24"/>
                <w:szCs w:val="24"/>
                <w:u w:val="single"/>
                <w:lang w:val="bg-BG"/>
              </w:rPr>
              <w:t>Актуализиране на изискванията за поддържане съответствие с критериите за подбор след одобрение на проекта спрямо динамичната икономическа обстановка, водеща до постоянно променящи се пазарни условия, които оказват негативен ефект върху устойчивостта на инвестициите;</w:t>
            </w:r>
          </w:p>
        </w:tc>
      </w:tr>
    </w:tbl>
    <w:p w:rsidR="00715566" w:rsidRPr="00385298" w:rsidRDefault="00715566" w:rsidP="00715566">
      <w:pPr>
        <w:rPr>
          <w:rFonts w:ascii="Times New Roman" w:hAnsi="Times New Roman" w:cs="Times New Roman"/>
          <w:sz w:val="24"/>
          <w:szCs w:val="24"/>
          <w:lang w:val="bg-BG"/>
        </w:rPr>
      </w:pPr>
    </w:p>
    <w:p w:rsidR="003B163C" w:rsidRPr="00385298" w:rsidRDefault="003B163C" w:rsidP="00715566">
      <w:pPr>
        <w:spacing w:after="0" w:line="240" w:lineRule="auto"/>
        <w:ind w:firstLine="142"/>
        <w:contextualSpacing/>
        <w:jc w:val="both"/>
        <w:rPr>
          <w:rFonts w:ascii="Times New Roman" w:hAnsi="Times New Roman" w:cs="Times New Roman"/>
          <w:sz w:val="24"/>
          <w:szCs w:val="24"/>
          <w:lang w:val="bg-BG"/>
        </w:rPr>
      </w:pPr>
    </w:p>
    <w:p w:rsidR="003B163C" w:rsidRPr="00385298" w:rsidRDefault="003B163C" w:rsidP="00DD44C7">
      <w:pPr>
        <w:spacing w:after="0" w:line="240" w:lineRule="auto"/>
        <w:ind w:firstLine="709"/>
        <w:contextualSpacing/>
        <w:jc w:val="both"/>
        <w:rPr>
          <w:rFonts w:ascii="Times New Roman" w:hAnsi="Times New Roman" w:cs="Times New Roman"/>
          <w:sz w:val="24"/>
          <w:szCs w:val="24"/>
          <w:lang w:val="bg-BG"/>
        </w:rPr>
      </w:pPr>
    </w:p>
    <w:p w:rsid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2D7908" w:rsidRDefault="002D7908" w:rsidP="00DD44C7">
      <w:pPr>
        <w:spacing w:after="0" w:line="240" w:lineRule="auto"/>
        <w:ind w:firstLine="709"/>
        <w:contextualSpacing/>
        <w:jc w:val="both"/>
        <w:rPr>
          <w:rFonts w:ascii="Times New Roman" w:hAnsi="Times New Roman" w:cs="Times New Roman"/>
          <w:b/>
          <w:i/>
          <w:sz w:val="24"/>
          <w:szCs w:val="24"/>
          <w:u w:val="single"/>
          <w:lang w:val="bg-BG"/>
        </w:rPr>
      </w:pPr>
    </w:p>
    <w:p w:rsidR="003B163C" w:rsidRPr="00385298" w:rsidRDefault="00147FFD" w:rsidP="00DD44C7">
      <w:pPr>
        <w:spacing w:after="0" w:line="240" w:lineRule="auto"/>
        <w:ind w:firstLine="709"/>
        <w:contextualSpacing/>
        <w:jc w:val="both"/>
        <w:rPr>
          <w:rFonts w:ascii="Times New Roman" w:hAnsi="Times New Roman" w:cs="Times New Roman"/>
          <w:b/>
          <w:i/>
          <w:sz w:val="24"/>
          <w:szCs w:val="24"/>
          <w:u w:val="single"/>
          <w:lang w:val="bg-BG"/>
        </w:rPr>
      </w:pPr>
      <w:r w:rsidRPr="00385298">
        <w:rPr>
          <w:rFonts w:ascii="Times New Roman" w:hAnsi="Times New Roman" w:cs="Times New Roman"/>
          <w:b/>
          <w:i/>
          <w:sz w:val="24"/>
          <w:szCs w:val="24"/>
          <w:u w:val="single"/>
          <w:lang w:val="bg-BG"/>
        </w:rPr>
        <w:t>Приложение 7</w:t>
      </w:r>
    </w:p>
    <w:p w:rsidR="00385298" w:rsidRP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Pr="00385298" w:rsidRDefault="00385298" w:rsidP="00385298">
      <w:pPr>
        <w:pStyle w:val="Heade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Актуализирани критерии за оценка на проектни предложения по подмярка 6.4.1 „Инвестиции в подкрепа на неземеделски дейности</w:t>
      </w:r>
    </w:p>
    <w:p w:rsidR="00385298" w:rsidRP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p w:rsidR="00385298" w:rsidRPr="00385298" w:rsidRDefault="00385298" w:rsidP="00DD44C7">
      <w:pPr>
        <w:spacing w:after="0" w:line="240" w:lineRule="auto"/>
        <w:ind w:firstLine="709"/>
        <w:contextualSpacing/>
        <w:jc w:val="both"/>
        <w:rPr>
          <w:rFonts w:ascii="Times New Roman" w:hAnsi="Times New Roman" w:cs="Times New Roman"/>
          <w:b/>
          <w:i/>
          <w:sz w:val="24"/>
          <w:szCs w:val="24"/>
          <w:u w:val="single"/>
          <w:lang w:val="bg-BG"/>
        </w:rPr>
      </w:pPr>
    </w:p>
    <w:tbl>
      <w:tblPr>
        <w:tblStyle w:val="TableGrid"/>
        <w:tblW w:w="13887" w:type="dxa"/>
        <w:tblInd w:w="0" w:type="dxa"/>
        <w:tblLook w:val="04A0" w:firstRow="1" w:lastRow="0" w:firstColumn="1" w:lastColumn="0" w:noHBand="0" w:noVBand="1"/>
      </w:tblPr>
      <w:tblGrid>
        <w:gridCol w:w="740"/>
        <w:gridCol w:w="2960"/>
        <w:gridCol w:w="8628"/>
        <w:gridCol w:w="1559"/>
      </w:tblGrid>
      <w:tr w:rsidR="00385298" w:rsidRPr="00385298" w:rsidTr="002D7908">
        <w:trPr>
          <w:trHeight w:val="510"/>
        </w:trPr>
        <w:tc>
          <w:tcPr>
            <w:tcW w:w="740" w:type="dxa"/>
            <w:shd w:val="clear" w:color="auto" w:fill="BFBFBF" w:themeFill="background1" w:themeFillShade="BF"/>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w:t>
            </w:r>
          </w:p>
        </w:tc>
        <w:tc>
          <w:tcPr>
            <w:tcW w:w="2960" w:type="dxa"/>
            <w:shd w:val="clear" w:color="auto" w:fill="BFBFBF" w:themeFill="background1" w:themeFillShade="BF"/>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КРИТЕРИЙ</w:t>
            </w:r>
          </w:p>
        </w:tc>
        <w:tc>
          <w:tcPr>
            <w:tcW w:w="8628" w:type="dxa"/>
            <w:shd w:val="clear" w:color="auto" w:fill="BFBFBF" w:themeFill="background1" w:themeFillShade="BF"/>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ОПИСАНИЕ</w:t>
            </w:r>
          </w:p>
        </w:tc>
        <w:tc>
          <w:tcPr>
            <w:tcW w:w="1559" w:type="dxa"/>
            <w:shd w:val="clear" w:color="auto" w:fill="BFBFBF" w:themeFill="background1" w:themeFillShade="BF"/>
            <w:noWrap/>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ТОЧКИ</w:t>
            </w:r>
          </w:p>
        </w:tc>
      </w:tr>
      <w:tr w:rsidR="00385298" w:rsidRPr="00385298" w:rsidTr="002D7908">
        <w:trPr>
          <w:trHeight w:val="795"/>
        </w:trPr>
        <w:tc>
          <w:tcPr>
            <w:tcW w:w="740" w:type="dxa"/>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1</w:t>
            </w:r>
          </w:p>
        </w:tc>
        <w:tc>
          <w:tcPr>
            <w:tcW w:w="11588" w:type="dxa"/>
            <w:gridSpan w:val="2"/>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Проектни предложения, подадени от кандидати, притежаващи опит в сектора, за който кандидатстват</w:t>
            </w:r>
          </w:p>
        </w:tc>
        <w:tc>
          <w:tcPr>
            <w:tcW w:w="1559" w:type="dxa"/>
            <w:shd w:val="clear" w:color="auto" w:fill="D9D9D9" w:themeFill="background1" w:themeFillShade="D9"/>
            <w:hideMark/>
          </w:tcPr>
          <w:p w:rsidR="00385298" w:rsidRPr="00385298" w:rsidRDefault="00385298" w:rsidP="002D7908">
            <w:pPr>
              <w:jc w:val="cente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5</w:t>
            </w:r>
          </w:p>
        </w:tc>
      </w:tr>
      <w:tr w:rsidR="00385298" w:rsidRPr="00385298" w:rsidTr="004F1538">
        <w:trPr>
          <w:trHeight w:val="1679"/>
        </w:trPr>
        <w:tc>
          <w:tcPr>
            <w:tcW w:w="740" w:type="dxa"/>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1.1</w:t>
            </w:r>
          </w:p>
        </w:tc>
        <w:tc>
          <w:tcPr>
            <w:tcW w:w="2960" w:type="dxa"/>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Проектни предложения, подадени от кандидати, притежаващи опит в сектора, за който кандидатстват</w:t>
            </w:r>
          </w:p>
        </w:tc>
        <w:tc>
          <w:tcPr>
            <w:tcW w:w="8628" w:type="dxa"/>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Точки се присъждат в случай, че кандидатът е предприятие, осъществяващо дейност в сектора, за който кандидатства. </w:t>
            </w:r>
          </w:p>
          <w:p w:rsidR="00385298" w:rsidRPr="00385298" w:rsidRDefault="00385298" w:rsidP="002D7908">
            <w:pPr>
              <w:contextualSpacing/>
              <w:rPr>
                <w:rFonts w:ascii="Times New Roman" w:hAnsi="Times New Roman" w:cs="Times New Roman"/>
                <w:sz w:val="24"/>
                <w:szCs w:val="24"/>
                <w:highlight w:val="white"/>
                <w:shd w:val="clear" w:color="auto" w:fill="FEFEFE"/>
                <w:lang w:val="bg-BG"/>
              </w:rPr>
            </w:pPr>
            <w:r w:rsidRPr="00385298">
              <w:rPr>
                <w:rFonts w:ascii="Times New Roman" w:hAnsi="Times New Roman" w:cs="Times New Roman"/>
                <w:sz w:val="24"/>
                <w:szCs w:val="24"/>
                <w:lang w:val="bg-BG"/>
              </w:rPr>
              <w:t>За кандидати с проектни предложения, насочени към развитие на занаяти, условието се счита за изпълнено в случай, че кандидатът притежава майсторско свидетелство или свидетелство за калфа за един или повече занаяти.</w:t>
            </w:r>
          </w:p>
        </w:tc>
        <w:tc>
          <w:tcPr>
            <w:tcW w:w="1559" w:type="dxa"/>
            <w:hideMark/>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5</w:t>
            </w:r>
          </w:p>
        </w:tc>
      </w:tr>
      <w:tr w:rsidR="00385298" w:rsidRPr="00385298" w:rsidTr="002D7908">
        <w:trPr>
          <w:trHeight w:val="765"/>
        </w:trPr>
        <w:tc>
          <w:tcPr>
            <w:tcW w:w="740" w:type="dxa"/>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w:t>
            </w:r>
          </w:p>
        </w:tc>
        <w:tc>
          <w:tcPr>
            <w:tcW w:w="11588" w:type="dxa"/>
            <w:gridSpan w:val="2"/>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Проектни предложения, подадени от кандидати, осъществявали дейност най-малко 3 години преди датата на кандидатстване</w:t>
            </w:r>
          </w:p>
        </w:tc>
        <w:tc>
          <w:tcPr>
            <w:tcW w:w="1559" w:type="dxa"/>
            <w:shd w:val="clear" w:color="auto" w:fill="D9D9D9" w:themeFill="background1" w:themeFillShade="D9"/>
            <w:noWrap/>
            <w:hideMark/>
          </w:tcPr>
          <w:p w:rsidR="00385298" w:rsidRPr="00385298" w:rsidRDefault="00385298" w:rsidP="002D7908">
            <w:pPr>
              <w:jc w:val="cente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40</w:t>
            </w:r>
          </w:p>
        </w:tc>
      </w:tr>
      <w:tr w:rsidR="00385298" w:rsidRPr="00385298" w:rsidTr="004F1538">
        <w:trPr>
          <w:trHeight w:val="1922"/>
        </w:trPr>
        <w:tc>
          <w:tcPr>
            <w:tcW w:w="740" w:type="dxa"/>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2.1</w:t>
            </w:r>
          </w:p>
        </w:tc>
        <w:tc>
          <w:tcPr>
            <w:tcW w:w="2960" w:type="dxa"/>
            <w:vAlign w:val="center"/>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Проектни предложения, подадени от кандидати, които извършват дейност от най-малко три години преди датата на кандидатстване.</w:t>
            </w:r>
          </w:p>
        </w:tc>
        <w:tc>
          <w:tcPr>
            <w:tcW w:w="8628" w:type="dxa"/>
            <w:vAlign w:val="center"/>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Точки се присъждат на кандидати, които са осъществявали дейност от най-малко три завършени финансови години преди датата на кандидатстване. </w:t>
            </w:r>
          </w:p>
        </w:tc>
        <w:tc>
          <w:tcPr>
            <w:tcW w:w="1559" w:type="dxa"/>
            <w:noWrap/>
            <w:vAlign w:val="center"/>
            <w:hideMark/>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10</w:t>
            </w:r>
          </w:p>
        </w:tc>
      </w:tr>
      <w:tr w:rsidR="00385298" w:rsidRPr="00385298" w:rsidTr="002D7908">
        <w:trPr>
          <w:trHeight w:val="782"/>
        </w:trPr>
        <w:tc>
          <w:tcPr>
            <w:tcW w:w="740" w:type="dxa"/>
            <w:vAlign w:val="center"/>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2.2</w:t>
            </w:r>
          </w:p>
        </w:tc>
        <w:tc>
          <w:tcPr>
            <w:tcW w:w="2960" w:type="dxa"/>
            <w:vAlign w:val="center"/>
          </w:tcPr>
          <w:p w:rsidR="00385298" w:rsidRPr="00385298" w:rsidRDefault="00385298" w:rsidP="002D7908">
            <w:pPr>
              <w:rPr>
                <w:rFonts w:ascii="Times New Roman" w:hAnsi="Times New Roman" w:cs="Times New Roman"/>
                <w:sz w:val="24"/>
                <w:szCs w:val="24"/>
                <w:highlight w:val="yellow"/>
                <w:lang w:val="bg-BG"/>
              </w:rPr>
            </w:pPr>
            <w:r w:rsidRPr="00385298">
              <w:rPr>
                <w:rFonts w:ascii="Times New Roman" w:hAnsi="Times New Roman" w:cs="Times New Roman"/>
                <w:sz w:val="24"/>
                <w:szCs w:val="24"/>
                <w:lang w:val="bg-BG"/>
              </w:rPr>
              <w:t>Финансовото състояние на кандидата обезпечава реализирането на инвестициите по проектното предложение.</w:t>
            </w:r>
          </w:p>
        </w:tc>
        <w:tc>
          <w:tcPr>
            <w:tcW w:w="8628" w:type="dxa"/>
            <w:vAlign w:val="center"/>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Критерият оценява съотношението между средноаритметичният размер на оперативната печалба на кандидата от последните три завършени финансови години (2019, 2020 и 2021 г.) и заявената стойност на проектното предложение. </w:t>
            </w:r>
          </w:p>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Точките по проектното предложение (Т) се изчисляват по следната формула:</w:t>
            </w:r>
          </w:p>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Т = 50*(Средноаритметична стойност на оперативната печалба/Стойност на проектното предложение)</w:t>
            </w:r>
          </w:p>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Закръглява се до втория знак след десетичната запетая.</w:t>
            </w:r>
          </w:p>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Максимален брой точки - 15 т.</w:t>
            </w:r>
          </w:p>
          <w:p w:rsid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При отрицателен резултат, точките са „0“.</w:t>
            </w:r>
          </w:p>
          <w:p w:rsidR="004F1538" w:rsidRPr="00385298" w:rsidRDefault="004F1538" w:rsidP="002D7908">
            <w:pPr>
              <w:rPr>
                <w:rFonts w:ascii="Times New Roman" w:hAnsi="Times New Roman" w:cs="Times New Roman"/>
                <w:sz w:val="24"/>
                <w:szCs w:val="24"/>
                <w:lang w:val="bg-BG"/>
              </w:rPr>
            </w:pPr>
          </w:p>
        </w:tc>
        <w:tc>
          <w:tcPr>
            <w:tcW w:w="1559" w:type="dxa"/>
            <w:noWrap/>
            <w:vAlign w:val="center"/>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15</w:t>
            </w:r>
          </w:p>
        </w:tc>
      </w:tr>
      <w:tr w:rsidR="00385298" w:rsidRPr="00385298" w:rsidTr="002D7908">
        <w:trPr>
          <w:trHeight w:val="782"/>
        </w:trPr>
        <w:tc>
          <w:tcPr>
            <w:tcW w:w="740" w:type="dxa"/>
            <w:vAlign w:val="center"/>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2.3</w:t>
            </w:r>
          </w:p>
        </w:tc>
        <w:tc>
          <w:tcPr>
            <w:tcW w:w="2960"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 xml:space="preserve">Проекти на кандидати, на които седалището на дружеството е в същата </w:t>
            </w:r>
            <w:r w:rsidRPr="00385298">
              <w:rPr>
                <w:rFonts w:ascii="Times New Roman" w:hAnsi="Times New Roman" w:cs="Times New Roman"/>
                <w:sz w:val="24"/>
                <w:szCs w:val="24"/>
                <w:lang w:val="bg-BG"/>
              </w:rPr>
              <w:lastRenderedPageBreak/>
              <w:t>община, в която ще се извършва инвестицията от най-малко 12 месеца.</w:t>
            </w:r>
          </w:p>
        </w:tc>
        <w:tc>
          <w:tcPr>
            <w:tcW w:w="8628"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Точки се присъждат на кандидати, на които седалището е в общината, в която ще се изпълнява проектното предложение, най-малко 12 месеца преди датата на кандидатстване.</w:t>
            </w:r>
          </w:p>
        </w:tc>
        <w:tc>
          <w:tcPr>
            <w:tcW w:w="1559" w:type="dxa"/>
            <w:noWrap/>
            <w:vAlign w:val="center"/>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5</w:t>
            </w:r>
          </w:p>
        </w:tc>
      </w:tr>
      <w:tr w:rsidR="00385298" w:rsidRPr="00385298" w:rsidTr="002D7908">
        <w:trPr>
          <w:trHeight w:val="782"/>
        </w:trPr>
        <w:tc>
          <w:tcPr>
            <w:tcW w:w="740" w:type="dxa"/>
            <w:vAlign w:val="center"/>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2.4</w:t>
            </w:r>
          </w:p>
        </w:tc>
        <w:tc>
          <w:tcPr>
            <w:tcW w:w="2960"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Проекти на кандидати, на които седалището на дружеството е в същата община, в която ще се извършва инвестицията от най-малко 24 месеца.</w:t>
            </w:r>
          </w:p>
        </w:tc>
        <w:tc>
          <w:tcPr>
            <w:tcW w:w="8628"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Точки се присъждат на кандидати, на които седалището е в общината, в която ще се изпълнява проектното предложение, най-малко 24 месеца преди датата на кандидатстване.</w:t>
            </w:r>
          </w:p>
        </w:tc>
        <w:tc>
          <w:tcPr>
            <w:tcW w:w="1559" w:type="dxa"/>
            <w:noWrap/>
            <w:vAlign w:val="center"/>
          </w:tcPr>
          <w:p w:rsidR="00385298" w:rsidRPr="00385298" w:rsidDel="00286D5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10</w:t>
            </w:r>
          </w:p>
        </w:tc>
      </w:tr>
      <w:tr w:rsidR="00385298" w:rsidRPr="00385298" w:rsidTr="002D7908">
        <w:trPr>
          <w:trHeight w:val="782"/>
        </w:trPr>
        <w:tc>
          <w:tcPr>
            <w:tcW w:w="740" w:type="dxa"/>
            <w:vAlign w:val="center"/>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2.5</w:t>
            </w:r>
          </w:p>
        </w:tc>
        <w:tc>
          <w:tcPr>
            <w:tcW w:w="2960"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Проекти на кандидати, на които седалището на дружеството е в същата община, в която ще се извършва инвестицията от най-малко 36 месеца.</w:t>
            </w:r>
          </w:p>
        </w:tc>
        <w:tc>
          <w:tcPr>
            <w:tcW w:w="8628"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Точки се присъждат на кандидати, на които седалището е в общината, в която ще се изпълнява проектното предложение, най-малко 36 месеца преди датата на кандидатстване.</w:t>
            </w:r>
          </w:p>
        </w:tc>
        <w:tc>
          <w:tcPr>
            <w:tcW w:w="1559" w:type="dxa"/>
            <w:noWrap/>
            <w:vAlign w:val="center"/>
          </w:tcPr>
          <w:p w:rsidR="00385298" w:rsidRPr="00385298" w:rsidDel="00286D5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15</w:t>
            </w:r>
          </w:p>
        </w:tc>
      </w:tr>
      <w:tr w:rsidR="00385298" w:rsidRPr="00385298" w:rsidTr="002D7908">
        <w:trPr>
          <w:trHeight w:val="983"/>
        </w:trPr>
        <w:tc>
          <w:tcPr>
            <w:tcW w:w="740" w:type="dxa"/>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3</w:t>
            </w:r>
          </w:p>
        </w:tc>
        <w:tc>
          <w:tcPr>
            <w:tcW w:w="11588" w:type="dxa"/>
            <w:gridSpan w:val="2"/>
            <w:shd w:val="clear" w:color="auto" w:fill="D9D9D9" w:themeFill="background1" w:themeFillShade="D9"/>
            <w:hideMark/>
          </w:tcPr>
          <w:p w:rsidR="00385298" w:rsidRPr="00385298" w:rsidRDefault="00385298" w:rsidP="002D7908">
            <w:pPr>
              <w:jc w:val="both"/>
              <w:rPr>
                <w:rFonts w:ascii="Times New Roman" w:hAnsi="Times New Roman" w:cs="Times New Roman"/>
                <w:sz w:val="24"/>
                <w:szCs w:val="24"/>
                <w:lang w:val="bg-BG"/>
              </w:rPr>
            </w:pPr>
            <w:r w:rsidRPr="00385298">
              <w:rPr>
                <w:rFonts w:ascii="Times New Roman" w:hAnsi="Times New Roman" w:cs="Times New Roman"/>
                <w:b/>
                <w:bCs/>
                <w:sz w:val="24"/>
                <w:szCs w:val="24"/>
                <w:lang w:val="bg-BG"/>
              </w:rPr>
              <w:t xml:space="preserve">Проектни предложения, които попадат в Приложение № …. към условията за кандидатстване </w:t>
            </w:r>
          </w:p>
        </w:tc>
        <w:tc>
          <w:tcPr>
            <w:tcW w:w="1559" w:type="dxa"/>
            <w:shd w:val="clear" w:color="auto" w:fill="D9D9D9" w:themeFill="background1" w:themeFillShade="D9"/>
            <w:hideMark/>
          </w:tcPr>
          <w:p w:rsidR="00385298" w:rsidRPr="00385298" w:rsidRDefault="00385298" w:rsidP="002D7908">
            <w:pPr>
              <w:jc w:val="cente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5</w:t>
            </w:r>
          </w:p>
        </w:tc>
      </w:tr>
      <w:tr w:rsidR="00385298" w:rsidRPr="00385298" w:rsidTr="002D7908">
        <w:trPr>
          <w:trHeight w:val="1692"/>
        </w:trPr>
        <w:tc>
          <w:tcPr>
            <w:tcW w:w="740" w:type="dxa"/>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3.1</w:t>
            </w:r>
          </w:p>
        </w:tc>
        <w:tc>
          <w:tcPr>
            <w:tcW w:w="2960" w:type="dxa"/>
            <w:hideMark/>
          </w:tcPr>
          <w:p w:rsidR="00385298" w:rsidRPr="00385298" w:rsidRDefault="00385298" w:rsidP="002D7908">
            <w:pPr>
              <w:contextualSpacing/>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Проектното предложение попада изцяло в един или повече от изброените раздели в приложение № ….към условията за кандидатстване.</w:t>
            </w:r>
          </w:p>
        </w:tc>
        <w:tc>
          <w:tcPr>
            <w:tcW w:w="8628" w:type="dxa"/>
          </w:tcPr>
          <w:p w:rsidR="00385298" w:rsidRPr="00385298" w:rsidRDefault="00385298" w:rsidP="002D7908">
            <w:pPr>
              <w:widowControl w:val="0"/>
              <w:autoSpaceDE w:val="0"/>
              <w:autoSpaceDN w:val="0"/>
              <w:adjustRightInd w:val="0"/>
              <w:spacing w:before="100" w:beforeAutospacing="1" w:after="100" w:afterAutospacing="1"/>
              <w:contextualSpacing/>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Принадлежността на проектното предложение към съответните сектори се определя от кода по КИД-2008.</w:t>
            </w:r>
          </w:p>
          <w:p w:rsidR="00385298" w:rsidRPr="00385298" w:rsidRDefault="00385298" w:rsidP="002D7908">
            <w:pPr>
              <w:widowControl w:val="0"/>
              <w:autoSpaceDE w:val="0"/>
              <w:autoSpaceDN w:val="0"/>
              <w:adjustRightInd w:val="0"/>
              <w:spacing w:before="100" w:beforeAutospacing="1" w:after="100" w:afterAutospacing="1"/>
              <w:contextualSpacing/>
              <w:rPr>
                <w:rFonts w:ascii="Times New Roman" w:hAnsi="Times New Roman" w:cs="Times New Roman"/>
                <w:sz w:val="24"/>
                <w:szCs w:val="24"/>
                <w:shd w:val="clear" w:color="auto" w:fill="FEFEFE"/>
                <w:lang w:val="bg-BG"/>
              </w:rPr>
            </w:pPr>
          </w:p>
          <w:p w:rsidR="00385298" w:rsidRDefault="00385298" w:rsidP="002D7908">
            <w:pPr>
              <w:widowControl w:val="0"/>
              <w:autoSpaceDE w:val="0"/>
              <w:autoSpaceDN w:val="0"/>
              <w:adjustRightInd w:val="0"/>
              <w:spacing w:before="100" w:beforeAutospacing="1" w:after="100" w:afterAutospacing="1"/>
              <w:contextualSpacing/>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За кандидати с проектни предложения, насочени към развитие на занаяти, принадлежността се определя съгласно раздел 3 от приложение № …. към условията за кандидатстване.</w:t>
            </w:r>
          </w:p>
          <w:p w:rsidR="004F1538" w:rsidRPr="00385298" w:rsidRDefault="004F1538" w:rsidP="002D7908">
            <w:pPr>
              <w:widowControl w:val="0"/>
              <w:autoSpaceDE w:val="0"/>
              <w:autoSpaceDN w:val="0"/>
              <w:adjustRightInd w:val="0"/>
              <w:spacing w:before="100" w:beforeAutospacing="1" w:after="100" w:afterAutospacing="1"/>
              <w:contextualSpacing/>
              <w:rPr>
                <w:rFonts w:ascii="Times New Roman" w:hAnsi="Times New Roman" w:cs="Times New Roman"/>
                <w:sz w:val="24"/>
                <w:szCs w:val="24"/>
                <w:shd w:val="clear" w:color="auto" w:fill="FEFEFE"/>
                <w:lang w:val="bg-BG"/>
              </w:rPr>
            </w:pPr>
          </w:p>
        </w:tc>
        <w:tc>
          <w:tcPr>
            <w:tcW w:w="1559" w:type="dxa"/>
            <w:hideMark/>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5</w:t>
            </w:r>
          </w:p>
        </w:tc>
      </w:tr>
      <w:tr w:rsidR="00385298" w:rsidRPr="00385298" w:rsidTr="002D7908">
        <w:trPr>
          <w:trHeight w:val="870"/>
        </w:trPr>
        <w:tc>
          <w:tcPr>
            <w:tcW w:w="740" w:type="dxa"/>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4</w:t>
            </w:r>
          </w:p>
        </w:tc>
        <w:tc>
          <w:tcPr>
            <w:tcW w:w="11588" w:type="dxa"/>
            <w:gridSpan w:val="2"/>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Проектни предложения, изпълнявани в Северозападен и Северен централен райони </w:t>
            </w:r>
          </w:p>
        </w:tc>
        <w:tc>
          <w:tcPr>
            <w:tcW w:w="1559" w:type="dxa"/>
            <w:shd w:val="clear" w:color="auto" w:fill="D9D9D9" w:themeFill="background1" w:themeFillShade="D9"/>
            <w:hideMark/>
          </w:tcPr>
          <w:p w:rsidR="00385298" w:rsidRPr="00385298" w:rsidRDefault="00385298" w:rsidP="002D7908">
            <w:pPr>
              <w:jc w:val="cente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2</w:t>
            </w:r>
          </w:p>
        </w:tc>
      </w:tr>
      <w:tr w:rsidR="00385298" w:rsidRPr="00385298" w:rsidTr="002D7908">
        <w:trPr>
          <w:trHeight w:val="1210"/>
        </w:trPr>
        <w:tc>
          <w:tcPr>
            <w:tcW w:w="740" w:type="dxa"/>
            <w:hideMark/>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4.1</w:t>
            </w:r>
          </w:p>
        </w:tc>
        <w:tc>
          <w:tcPr>
            <w:tcW w:w="2960" w:type="dxa"/>
            <w:hideMark/>
          </w:tcPr>
          <w:p w:rsidR="00385298" w:rsidRPr="00385298" w:rsidRDefault="00385298" w:rsidP="002D7908">
            <w:pPr>
              <w:rPr>
                <w:rFonts w:ascii="Times New Roman" w:hAnsi="Times New Roman" w:cs="Times New Roman"/>
                <w:sz w:val="24"/>
                <w:szCs w:val="24"/>
                <w:highlight w:val="yellow"/>
                <w:shd w:val="clear" w:color="auto" w:fill="FEFEFE"/>
                <w:lang w:val="bg-BG"/>
              </w:rPr>
            </w:pPr>
            <w:r w:rsidRPr="00385298">
              <w:rPr>
                <w:rFonts w:ascii="Times New Roman" w:hAnsi="Times New Roman" w:cs="Times New Roman"/>
                <w:sz w:val="24"/>
                <w:szCs w:val="24"/>
                <w:lang w:val="bg-BG"/>
              </w:rPr>
              <w:t>Проектни предложения, които се изпълняват на територията на области Видин, Враца, Ловеч, Монтана и Плевен.</w:t>
            </w:r>
          </w:p>
        </w:tc>
        <w:tc>
          <w:tcPr>
            <w:tcW w:w="8628" w:type="dxa"/>
            <w:vAlign w:val="center"/>
            <w:hideMark/>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w:t>
            </w:r>
          </w:p>
        </w:tc>
        <w:tc>
          <w:tcPr>
            <w:tcW w:w="1559" w:type="dxa"/>
            <w:hideMark/>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2</w:t>
            </w:r>
          </w:p>
        </w:tc>
      </w:tr>
      <w:tr w:rsidR="00385298" w:rsidRPr="00385298" w:rsidTr="002D7908">
        <w:trPr>
          <w:trHeight w:val="1568"/>
        </w:trPr>
        <w:tc>
          <w:tcPr>
            <w:tcW w:w="740"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lastRenderedPageBreak/>
              <w:t>4.2</w:t>
            </w:r>
          </w:p>
        </w:tc>
        <w:tc>
          <w:tcPr>
            <w:tcW w:w="2960"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Проектни предложения, които се изпълняват на територията на области Велико Търново, Габрово, Разград, Русе и Силистра.</w:t>
            </w:r>
          </w:p>
        </w:tc>
        <w:tc>
          <w:tcPr>
            <w:tcW w:w="8628" w:type="dxa"/>
            <w:vAlign w:val="center"/>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w:t>
            </w:r>
          </w:p>
        </w:tc>
        <w:tc>
          <w:tcPr>
            <w:tcW w:w="1559" w:type="dxa"/>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1</w:t>
            </w:r>
          </w:p>
        </w:tc>
      </w:tr>
      <w:tr w:rsidR="00385298" w:rsidRPr="00385298" w:rsidTr="002D7908">
        <w:trPr>
          <w:trHeight w:val="795"/>
        </w:trPr>
        <w:tc>
          <w:tcPr>
            <w:tcW w:w="740" w:type="dxa"/>
            <w:shd w:val="clear" w:color="auto" w:fill="D9D9D9" w:themeFill="background1" w:themeFillShade="D9"/>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5</w:t>
            </w:r>
          </w:p>
        </w:tc>
        <w:tc>
          <w:tcPr>
            <w:tcW w:w="11588" w:type="dxa"/>
            <w:gridSpan w:val="2"/>
            <w:shd w:val="clear" w:color="auto" w:fill="D9D9D9" w:themeFill="background1" w:themeFillShade="D9"/>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Проекти, създаващи работни места</w:t>
            </w:r>
          </w:p>
        </w:tc>
        <w:tc>
          <w:tcPr>
            <w:tcW w:w="1559" w:type="dxa"/>
            <w:shd w:val="clear" w:color="auto" w:fill="D9D9D9" w:themeFill="background1" w:themeFillShade="D9"/>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5</w:t>
            </w:r>
          </w:p>
        </w:tc>
      </w:tr>
      <w:tr w:rsidR="00385298" w:rsidRPr="00385298" w:rsidTr="002D7908">
        <w:trPr>
          <w:trHeight w:val="360"/>
        </w:trPr>
        <w:tc>
          <w:tcPr>
            <w:tcW w:w="740" w:type="dxa"/>
            <w:vMerge w:val="restart"/>
            <w:vAlign w:val="center"/>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5.1</w:t>
            </w:r>
          </w:p>
        </w:tc>
        <w:tc>
          <w:tcPr>
            <w:tcW w:w="2960" w:type="dxa"/>
            <w:vMerge w:val="restart"/>
            <w:vAlign w:val="center"/>
          </w:tcPr>
          <w:p w:rsidR="00385298" w:rsidRPr="00385298" w:rsidRDefault="00385298" w:rsidP="002D7908">
            <w:pPr>
              <w:rPr>
                <w:rFonts w:ascii="Times New Roman" w:hAnsi="Times New Roman" w:cs="Times New Roman"/>
                <w:sz w:val="24"/>
                <w:szCs w:val="24"/>
                <w:highlight w:val="yellow"/>
                <w:shd w:val="clear" w:color="auto" w:fill="FEFEFE"/>
                <w:lang w:val="bg-BG"/>
              </w:rPr>
            </w:pPr>
            <w:r w:rsidRPr="00385298">
              <w:rPr>
                <w:rFonts w:ascii="Times New Roman" w:hAnsi="Times New Roman" w:cs="Times New Roman"/>
                <w:sz w:val="24"/>
                <w:szCs w:val="24"/>
                <w:lang w:val="bg-BG"/>
              </w:rPr>
              <w:t>Проекти, създаващи нови работни места </w:t>
            </w:r>
          </w:p>
        </w:tc>
        <w:tc>
          <w:tcPr>
            <w:tcW w:w="8628" w:type="dxa"/>
          </w:tcPr>
          <w:p w:rsidR="00385298" w:rsidRPr="00385298" w:rsidRDefault="00385298" w:rsidP="002D7908">
            <w:pPr>
              <w:rPr>
                <w:rFonts w:ascii="Times New Roman" w:hAnsi="Times New Roman" w:cs="Times New Roman"/>
                <w:sz w:val="24"/>
                <w:szCs w:val="24"/>
                <w:highlight w:val="yellow"/>
                <w:lang w:val="bg-BG"/>
              </w:rPr>
            </w:pPr>
            <w:r w:rsidRPr="00385298">
              <w:rPr>
                <w:rFonts w:ascii="Times New Roman" w:hAnsi="Times New Roman" w:cs="Times New Roman"/>
                <w:sz w:val="24"/>
                <w:szCs w:val="24"/>
                <w:lang w:val="bg-BG"/>
              </w:rPr>
              <w:t>С изпълнение на дейностите по проектното предложение ще бъде създадено най-малко 1 ново работно място.</w:t>
            </w:r>
          </w:p>
        </w:tc>
        <w:tc>
          <w:tcPr>
            <w:tcW w:w="1559" w:type="dxa"/>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1</w:t>
            </w:r>
          </w:p>
        </w:tc>
      </w:tr>
      <w:tr w:rsidR="00385298" w:rsidRPr="00385298" w:rsidTr="002D7908">
        <w:trPr>
          <w:trHeight w:val="360"/>
        </w:trPr>
        <w:tc>
          <w:tcPr>
            <w:tcW w:w="740" w:type="dxa"/>
            <w:vMerge/>
          </w:tcPr>
          <w:p w:rsidR="00385298" w:rsidRPr="00385298" w:rsidRDefault="00385298" w:rsidP="002D7908">
            <w:pPr>
              <w:rPr>
                <w:rFonts w:ascii="Times New Roman" w:hAnsi="Times New Roman" w:cs="Times New Roman"/>
                <w:sz w:val="24"/>
                <w:szCs w:val="24"/>
                <w:lang w:val="bg-BG"/>
              </w:rPr>
            </w:pPr>
          </w:p>
        </w:tc>
        <w:tc>
          <w:tcPr>
            <w:tcW w:w="2960" w:type="dxa"/>
            <w:vMerge/>
          </w:tcPr>
          <w:p w:rsidR="00385298" w:rsidRPr="00385298" w:rsidRDefault="00385298" w:rsidP="002D7908">
            <w:pPr>
              <w:rPr>
                <w:rFonts w:ascii="Times New Roman" w:hAnsi="Times New Roman" w:cs="Times New Roman"/>
                <w:sz w:val="24"/>
                <w:szCs w:val="24"/>
                <w:lang w:val="bg-BG"/>
              </w:rPr>
            </w:pPr>
          </w:p>
        </w:tc>
        <w:tc>
          <w:tcPr>
            <w:tcW w:w="8628"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През последната финансова година кандидатът има средносписъчен брой на персонала минимум 2 души и този брой ще бъде запазен след реализирането на проекта.</w:t>
            </w:r>
          </w:p>
        </w:tc>
        <w:tc>
          <w:tcPr>
            <w:tcW w:w="1559" w:type="dxa"/>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2</w:t>
            </w:r>
          </w:p>
        </w:tc>
      </w:tr>
      <w:tr w:rsidR="00385298" w:rsidRPr="00385298" w:rsidTr="002D7908">
        <w:trPr>
          <w:trHeight w:val="360"/>
        </w:trPr>
        <w:tc>
          <w:tcPr>
            <w:tcW w:w="740" w:type="dxa"/>
            <w:vMerge/>
          </w:tcPr>
          <w:p w:rsidR="00385298" w:rsidRPr="00385298" w:rsidRDefault="00385298" w:rsidP="002D7908">
            <w:pPr>
              <w:rPr>
                <w:rFonts w:ascii="Times New Roman" w:hAnsi="Times New Roman" w:cs="Times New Roman"/>
                <w:sz w:val="24"/>
                <w:szCs w:val="24"/>
                <w:lang w:val="bg-BG"/>
              </w:rPr>
            </w:pPr>
          </w:p>
        </w:tc>
        <w:tc>
          <w:tcPr>
            <w:tcW w:w="2960" w:type="dxa"/>
            <w:vMerge/>
          </w:tcPr>
          <w:p w:rsidR="00385298" w:rsidRPr="00385298" w:rsidRDefault="00385298" w:rsidP="002D7908">
            <w:pPr>
              <w:rPr>
                <w:rFonts w:ascii="Times New Roman" w:hAnsi="Times New Roman" w:cs="Times New Roman"/>
                <w:sz w:val="24"/>
                <w:szCs w:val="24"/>
                <w:lang w:val="bg-BG"/>
              </w:rPr>
            </w:pPr>
          </w:p>
        </w:tc>
        <w:tc>
          <w:tcPr>
            <w:tcW w:w="8628"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През последната финансова година кандидатът има средносписъчен брой на персонала  минимум 3 души и този брой ще бъде запазен след реализирането на проекта.</w:t>
            </w:r>
          </w:p>
        </w:tc>
        <w:tc>
          <w:tcPr>
            <w:tcW w:w="1559" w:type="dxa"/>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3</w:t>
            </w:r>
          </w:p>
        </w:tc>
      </w:tr>
      <w:tr w:rsidR="00385298" w:rsidRPr="00385298" w:rsidTr="002D7908">
        <w:trPr>
          <w:trHeight w:val="360"/>
        </w:trPr>
        <w:tc>
          <w:tcPr>
            <w:tcW w:w="740" w:type="dxa"/>
            <w:vMerge/>
          </w:tcPr>
          <w:p w:rsidR="00385298" w:rsidRPr="00385298" w:rsidRDefault="00385298" w:rsidP="002D7908">
            <w:pPr>
              <w:rPr>
                <w:rFonts w:ascii="Times New Roman" w:hAnsi="Times New Roman" w:cs="Times New Roman"/>
                <w:sz w:val="24"/>
                <w:szCs w:val="24"/>
                <w:lang w:val="bg-BG"/>
              </w:rPr>
            </w:pPr>
          </w:p>
        </w:tc>
        <w:tc>
          <w:tcPr>
            <w:tcW w:w="2960" w:type="dxa"/>
            <w:vMerge/>
          </w:tcPr>
          <w:p w:rsidR="00385298" w:rsidRPr="00385298" w:rsidRDefault="00385298" w:rsidP="002D7908">
            <w:pPr>
              <w:rPr>
                <w:rFonts w:ascii="Times New Roman" w:hAnsi="Times New Roman" w:cs="Times New Roman"/>
                <w:sz w:val="24"/>
                <w:szCs w:val="24"/>
                <w:lang w:val="bg-BG"/>
              </w:rPr>
            </w:pPr>
          </w:p>
        </w:tc>
        <w:tc>
          <w:tcPr>
            <w:tcW w:w="8628" w:type="dxa"/>
          </w:tcPr>
          <w:p w:rsidR="00385298" w:rsidRPr="00385298" w:rsidRDefault="00385298" w:rsidP="002D7908">
            <w:pPr>
              <w:rPr>
                <w:rFonts w:ascii="Times New Roman" w:hAnsi="Times New Roman" w:cs="Times New Roman"/>
                <w:sz w:val="24"/>
                <w:szCs w:val="24"/>
                <w:lang w:val="bg-BG"/>
              </w:rPr>
            </w:pPr>
            <w:r w:rsidRPr="00385298">
              <w:rPr>
                <w:rFonts w:ascii="Times New Roman" w:hAnsi="Times New Roman" w:cs="Times New Roman"/>
                <w:sz w:val="24"/>
                <w:szCs w:val="24"/>
                <w:lang w:val="bg-BG"/>
              </w:rPr>
              <w:t>През последната финансова година кандидатът има средносписъчен брой на персонала  минимум 4 души и този брой ще бъде запазен след реализирането на проекта.</w:t>
            </w:r>
          </w:p>
        </w:tc>
        <w:tc>
          <w:tcPr>
            <w:tcW w:w="1559" w:type="dxa"/>
          </w:tcPr>
          <w:p w:rsidR="00385298" w:rsidRPr="00385298" w:rsidRDefault="00385298" w:rsidP="002D7908">
            <w:pPr>
              <w:jc w:val="center"/>
              <w:rPr>
                <w:rFonts w:ascii="Times New Roman" w:hAnsi="Times New Roman" w:cs="Times New Roman"/>
                <w:sz w:val="24"/>
                <w:szCs w:val="24"/>
                <w:lang w:val="bg-BG"/>
              </w:rPr>
            </w:pPr>
            <w:r w:rsidRPr="00385298">
              <w:rPr>
                <w:rFonts w:ascii="Times New Roman" w:hAnsi="Times New Roman" w:cs="Times New Roman"/>
                <w:sz w:val="24"/>
                <w:szCs w:val="24"/>
                <w:lang w:val="bg-BG"/>
              </w:rPr>
              <w:t>4</w:t>
            </w:r>
          </w:p>
        </w:tc>
      </w:tr>
      <w:tr w:rsidR="00385298" w:rsidRPr="00385298" w:rsidTr="002D7908">
        <w:trPr>
          <w:trHeight w:val="615"/>
        </w:trPr>
        <w:tc>
          <w:tcPr>
            <w:tcW w:w="12328" w:type="dxa"/>
            <w:gridSpan w:val="3"/>
            <w:shd w:val="clear" w:color="auto" w:fill="D9D9D9" w:themeFill="background1" w:themeFillShade="D9"/>
            <w:hideMark/>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МАКСИМАЛЕН БРОЙ ТОЧКИ</w:t>
            </w:r>
          </w:p>
        </w:tc>
        <w:tc>
          <w:tcPr>
            <w:tcW w:w="1559" w:type="dxa"/>
            <w:shd w:val="clear" w:color="auto" w:fill="D9D9D9" w:themeFill="background1" w:themeFillShade="D9"/>
            <w:hideMark/>
          </w:tcPr>
          <w:p w:rsidR="00385298" w:rsidRPr="00385298" w:rsidRDefault="00385298" w:rsidP="002D7908">
            <w:pPr>
              <w:jc w:val="cente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57</w:t>
            </w:r>
          </w:p>
        </w:tc>
      </w:tr>
      <w:tr w:rsidR="00385298" w:rsidRPr="00385298" w:rsidTr="002D7908">
        <w:trPr>
          <w:trHeight w:val="615"/>
        </w:trPr>
        <w:tc>
          <w:tcPr>
            <w:tcW w:w="13887" w:type="dxa"/>
            <w:gridSpan w:val="4"/>
            <w:shd w:val="clear" w:color="auto" w:fill="D9D9D9" w:themeFill="background1" w:themeFillShade="D9"/>
          </w:tcPr>
          <w:p w:rsidR="00385298" w:rsidRPr="00385298" w:rsidRDefault="00385298" w:rsidP="002D7908">
            <w:pPr>
              <w:rPr>
                <w:rFonts w:ascii="Times New Roman" w:hAnsi="Times New Roman" w:cs="Times New Roman"/>
                <w:b/>
                <w:bCs/>
                <w:sz w:val="24"/>
                <w:szCs w:val="24"/>
                <w:lang w:val="bg-BG"/>
              </w:rPr>
            </w:pPr>
            <w:r w:rsidRPr="00385298">
              <w:rPr>
                <w:rFonts w:ascii="Times New Roman" w:hAnsi="Times New Roman" w:cs="Times New Roman"/>
                <w:b/>
                <w:bCs/>
                <w:sz w:val="24"/>
                <w:szCs w:val="24"/>
                <w:lang w:val="bg-BG"/>
              </w:rPr>
              <w:t>ВАЖНО: Подпомагат се проекти, които са получили минимален брой от 10 точки по критериите за подбор.</w:t>
            </w:r>
          </w:p>
        </w:tc>
      </w:tr>
    </w:tbl>
    <w:p w:rsidR="00385298" w:rsidRPr="00385298" w:rsidRDefault="00385298" w:rsidP="00385298">
      <w:pPr>
        <w:rPr>
          <w:rFonts w:ascii="Times New Roman" w:hAnsi="Times New Roman" w:cs="Times New Roman"/>
          <w:sz w:val="24"/>
          <w:szCs w:val="24"/>
          <w:lang w:val="bg-BG"/>
        </w:rPr>
      </w:pPr>
    </w:p>
    <w:p w:rsidR="002D7908" w:rsidRDefault="002D7908" w:rsidP="00385298">
      <w:pPr>
        <w:spacing w:after="0"/>
        <w:jc w:val="both"/>
        <w:outlineLvl w:val="1"/>
        <w:rPr>
          <w:rFonts w:ascii="Times New Roman" w:eastAsiaTheme="majorEastAsia" w:hAnsi="Times New Roman" w:cs="Times New Roman"/>
          <w:b/>
          <w:bCs/>
          <w:color w:val="000000" w:themeColor="text1"/>
          <w:sz w:val="24"/>
          <w:szCs w:val="24"/>
          <w:lang w:val="bg-BG"/>
        </w:rPr>
      </w:pPr>
    </w:p>
    <w:p w:rsidR="002D7908" w:rsidRDefault="002D7908" w:rsidP="00385298">
      <w:pPr>
        <w:spacing w:after="0"/>
        <w:jc w:val="both"/>
        <w:outlineLvl w:val="1"/>
        <w:rPr>
          <w:rFonts w:ascii="Times New Roman" w:eastAsiaTheme="majorEastAsia" w:hAnsi="Times New Roman" w:cs="Times New Roman"/>
          <w:b/>
          <w:bCs/>
          <w:color w:val="000000" w:themeColor="text1"/>
          <w:sz w:val="24"/>
          <w:szCs w:val="24"/>
          <w:lang w:val="bg-BG"/>
        </w:rPr>
      </w:pPr>
    </w:p>
    <w:p w:rsidR="00385298" w:rsidRDefault="00385298" w:rsidP="00385298">
      <w:pPr>
        <w:spacing w:after="0"/>
        <w:jc w:val="both"/>
        <w:outlineLvl w:val="1"/>
        <w:rPr>
          <w:rFonts w:ascii="Times New Roman" w:eastAsiaTheme="majorEastAsia" w:hAnsi="Times New Roman" w:cs="Times New Roman"/>
          <w:b/>
          <w:bCs/>
          <w:color w:val="000000" w:themeColor="text1"/>
          <w:sz w:val="24"/>
          <w:szCs w:val="24"/>
          <w:lang w:val="bg-BG"/>
        </w:rPr>
      </w:pPr>
      <w:r w:rsidRPr="00385298">
        <w:rPr>
          <w:rFonts w:ascii="Times New Roman" w:eastAsiaTheme="majorEastAsia" w:hAnsi="Times New Roman" w:cs="Times New Roman"/>
          <w:b/>
          <w:bCs/>
          <w:color w:val="000000" w:themeColor="text1"/>
          <w:sz w:val="24"/>
          <w:szCs w:val="24"/>
          <w:lang w:val="bg-BG"/>
        </w:rPr>
        <w:t>Методика за оценка на проектните предложения:</w:t>
      </w:r>
    </w:p>
    <w:p w:rsidR="002D7908" w:rsidRPr="00385298" w:rsidRDefault="002D7908" w:rsidP="00385298">
      <w:pPr>
        <w:spacing w:after="0"/>
        <w:jc w:val="both"/>
        <w:outlineLvl w:val="1"/>
        <w:rPr>
          <w:rFonts w:ascii="Times New Roman" w:eastAsiaTheme="majorEastAsia" w:hAnsi="Times New Roman" w:cs="Times New Roman"/>
          <w:b/>
          <w:bCs/>
          <w:color w:val="000000" w:themeColor="text1"/>
          <w:sz w:val="24"/>
          <w:szCs w:val="24"/>
          <w:lang w:val="bg-BG"/>
        </w:rPr>
      </w:pPr>
    </w:p>
    <w:tbl>
      <w:tblPr>
        <w:tblStyle w:val="TableGrid"/>
        <w:tblW w:w="13320" w:type="dxa"/>
        <w:tblInd w:w="0" w:type="dxa"/>
        <w:tblLook w:val="04A0" w:firstRow="1" w:lastRow="0" w:firstColumn="1" w:lastColumn="0" w:noHBand="0" w:noVBand="1"/>
      </w:tblPr>
      <w:tblGrid>
        <w:gridCol w:w="13320"/>
      </w:tblGrid>
      <w:tr w:rsidR="00385298" w:rsidRPr="00385298" w:rsidTr="002D7908">
        <w:trPr>
          <w:trHeight w:val="975"/>
        </w:trPr>
        <w:tc>
          <w:tcPr>
            <w:tcW w:w="13320" w:type="dxa"/>
          </w:tcPr>
          <w:p w:rsidR="00385298" w:rsidRPr="00385298" w:rsidRDefault="00385298" w:rsidP="002D7908">
            <w:pPr>
              <w:spacing w:before="120" w:after="120"/>
              <w:jc w:val="both"/>
              <w:rPr>
                <w:rFonts w:ascii="Times New Roman" w:eastAsia="Times New Roman" w:hAnsi="Times New Roman" w:cs="Times New Roman"/>
                <w:iCs/>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t>1.</w:t>
            </w:r>
            <w:r w:rsidRPr="00385298">
              <w:rPr>
                <w:rFonts w:ascii="Times New Roman" w:eastAsia="Times New Roman" w:hAnsi="Times New Roman" w:cs="Times New Roman"/>
                <w:sz w:val="24"/>
                <w:szCs w:val="24"/>
                <w:shd w:val="clear" w:color="auto" w:fill="FEFEFE"/>
                <w:lang w:val="bg-BG"/>
              </w:rPr>
              <w:t xml:space="preserve"> Проектни предложения подадени от кандидати, притежаващи опит в сектора, за който кандидатстват </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b/>
                <w:i/>
                <w:sz w:val="24"/>
                <w:szCs w:val="24"/>
                <w:shd w:val="clear" w:color="auto" w:fill="FEFEFE"/>
                <w:lang w:val="bg-BG"/>
              </w:rPr>
              <w:t>критерии за оценка № 1.1</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sz w:val="24"/>
                <w:szCs w:val="24"/>
                <w:shd w:val="clear" w:color="auto" w:fill="FEFEFE"/>
                <w:lang w:val="bg-BG"/>
              </w:rPr>
              <w:t xml:space="preserve"> са такива, при които кандидатът е предприятие, осъществяващо дейност в сектора, за който кандидатства.</w:t>
            </w:r>
            <w:r w:rsidRPr="00385298">
              <w:rPr>
                <w:rFonts w:ascii="Times New Roman" w:eastAsia="Times New Roman" w:hAnsi="Times New Roman" w:cs="Times New Roman"/>
                <w:sz w:val="24"/>
                <w:szCs w:val="24"/>
                <w:lang w:val="bg-BG"/>
              </w:rPr>
              <w:t xml:space="preserve"> </w:t>
            </w:r>
            <w:r w:rsidRPr="00385298">
              <w:rPr>
                <w:rFonts w:ascii="Times New Roman" w:eastAsia="Times New Roman" w:hAnsi="Times New Roman" w:cs="Times New Roman"/>
                <w:sz w:val="24"/>
                <w:szCs w:val="24"/>
                <w:shd w:val="clear" w:color="auto" w:fill="FEFEFE"/>
                <w:lang w:val="bg-BG"/>
              </w:rPr>
              <w:t>Кандидатът посочва кода на икономическата дейност на проектното предложение в Приложение „</w:t>
            </w:r>
            <w:r w:rsidRPr="00385298">
              <w:rPr>
                <w:rFonts w:ascii="Times New Roman" w:eastAsia="Times New Roman" w:hAnsi="Times New Roman" w:cs="Times New Roman"/>
                <w:i/>
                <w:sz w:val="24"/>
                <w:szCs w:val="24"/>
                <w:shd w:val="clear" w:color="auto" w:fill="FEFEFE"/>
                <w:lang w:val="bg-BG"/>
              </w:rPr>
              <w:t>Основна информация за проектното предложение</w:t>
            </w:r>
            <w:r w:rsidRPr="00385298">
              <w:rPr>
                <w:rFonts w:ascii="Times New Roman" w:eastAsia="Times New Roman" w:hAnsi="Times New Roman" w:cs="Times New Roman"/>
                <w:sz w:val="24"/>
                <w:szCs w:val="24"/>
                <w:shd w:val="clear" w:color="auto" w:fill="FEFEFE"/>
                <w:lang w:val="bg-BG"/>
              </w:rPr>
              <w:t xml:space="preserve">“ от Условията за кандидатстване. Точки по критерия, получават проектни предложения, при които </w:t>
            </w:r>
            <w:r w:rsidRPr="00385298">
              <w:rPr>
                <w:rFonts w:ascii="Times New Roman" w:eastAsia="Times New Roman" w:hAnsi="Times New Roman" w:cs="Times New Roman"/>
                <w:bCs/>
                <w:sz w:val="24"/>
                <w:szCs w:val="24"/>
                <w:shd w:val="clear" w:color="auto" w:fill="FEFEFE"/>
                <w:lang w:val="bg-BG"/>
              </w:rPr>
              <w:t>класа (</w:t>
            </w:r>
            <w:r w:rsidRPr="00385298">
              <w:rPr>
                <w:rFonts w:ascii="Times New Roman" w:eastAsia="Times New Roman" w:hAnsi="Times New Roman" w:cs="Times New Roman"/>
                <w:sz w:val="24"/>
                <w:szCs w:val="24"/>
                <w:shd w:val="clear" w:color="auto" w:fill="FEFEFE"/>
                <w:lang w:val="bg-BG"/>
              </w:rPr>
              <w:t xml:space="preserve">съдържа позиции, идентифицирани с четиризначен цифров код) на дейностите от КИД - 2008, включени в бизнес плана, съвпадат с основната и допълнителните икономически дейности, осъществявани от кандидата през 2021 г. Дейността на предприятието се </w:t>
            </w:r>
            <w:r w:rsidRPr="00385298">
              <w:rPr>
                <w:rFonts w:ascii="Times New Roman" w:eastAsia="Times New Roman" w:hAnsi="Times New Roman" w:cs="Times New Roman"/>
                <w:sz w:val="24"/>
                <w:szCs w:val="24"/>
                <w:shd w:val="clear" w:color="auto" w:fill="FEFEFE"/>
                <w:lang w:val="bg-BG"/>
              </w:rPr>
              <w:lastRenderedPageBreak/>
              <w:t xml:space="preserve">доказва със справка от Националния статистически институт (НСИ) за основната и допълнителните икономически дейности, осъществявани от кандидата през 2021 г. </w:t>
            </w:r>
            <w:r w:rsidRPr="00385298">
              <w:rPr>
                <w:rFonts w:ascii="Times New Roman" w:eastAsia="Times New Roman" w:hAnsi="Times New Roman" w:cs="Times New Roman"/>
                <w:bCs/>
                <w:sz w:val="24"/>
                <w:szCs w:val="24"/>
                <w:shd w:val="clear" w:color="auto" w:fill="FEFEFE"/>
                <w:lang w:val="bg-BG"/>
              </w:rPr>
              <w:t xml:space="preserve">Извършва се служебна проверка </w:t>
            </w:r>
            <w:r w:rsidRPr="00385298">
              <w:rPr>
                <w:rFonts w:ascii="Times New Roman" w:eastAsia="Times New Roman" w:hAnsi="Times New Roman" w:cs="Times New Roman"/>
                <w:sz w:val="24"/>
                <w:szCs w:val="24"/>
                <w:shd w:val="clear" w:color="auto" w:fill="FEFEFE"/>
                <w:lang w:val="bg-BG"/>
              </w:rPr>
              <w:t>в НСИ</w:t>
            </w:r>
            <w:r w:rsidRPr="00385298">
              <w:rPr>
                <w:rFonts w:ascii="Times New Roman" w:eastAsia="Times New Roman" w:hAnsi="Times New Roman" w:cs="Times New Roman"/>
                <w:iCs/>
                <w:sz w:val="24"/>
                <w:szCs w:val="24"/>
                <w:shd w:val="clear" w:color="auto" w:fill="FEFEFE"/>
                <w:lang w:val="bg-BG"/>
              </w:rPr>
              <w:t xml:space="preserve">, като за целта кандидатите попълват декларация, съгласно съответното приложение от Условията за кандидатстване. </w:t>
            </w:r>
          </w:p>
          <w:p w:rsidR="00385298" w:rsidRPr="00385298" w:rsidRDefault="00385298" w:rsidP="002D7908">
            <w:pPr>
              <w:spacing w:before="120" w:after="120"/>
              <w:jc w:val="both"/>
              <w:rPr>
                <w:rFonts w:ascii="Times New Roman" w:eastAsia="Times New Roman" w:hAnsi="Times New Roman" w:cs="Times New Roman"/>
                <w:b/>
                <w:sz w:val="24"/>
                <w:szCs w:val="24"/>
                <w:shd w:val="clear" w:color="auto" w:fill="FEFEFE"/>
                <w:lang w:val="bg-BG"/>
              </w:rPr>
            </w:pPr>
            <w:r w:rsidRPr="00385298">
              <w:rPr>
                <w:rFonts w:ascii="Times New Roman" w:eastAsia="Times New Roman" w:hAnsi="Times New Roman" w:cs="Times New Roman"/>
                <w:sz w:val="24"/>
                <w:szCs w:val="24"/>
                <w:lang w:val="bg-BG"/>
              </w:rPr>
              <w:t>За кандидати с проектни предложения, насочени към развитие на занаяти, условието се счита за изпълнено в случай, че кандидатът притежава майсторско свидетелство за един или повече занаяти (</w:t>
            </w:r>
            <w:r w:rsidRPr="00385298">
              <w:rPr>
                <w:rFonts w:ascii="Times New Roman" w:eastAsia="Times New Roman" w:hAnsi="Times New Roman" w:cs="Times New Roman"/>
                <w:i/>
                <w:sz w:val="24"/>
                <w:szCs w:val="24"/>
                <w:lang w:val="bg-BG"/>
              </w:rPr>
              <w:t>издадено/и от Националната занаятчийска камара и е вписан в регистъра на Регионална занаятчийска камара</w:t>
            </w:r>
            <w:r w:rsidRPr="00385298">
              <w:rPr>
                <w:rFonts w:ascii="Times New Roman" w:eastAsia="Times New Roman" w:hAnsi="Times New Roman" w:cs="Times New Roman"/>
                <w:sz w:val="24"/>
                <w:szCs w:val="24"/>
                <w:lang w:val="bg-BG"/>
              </w:rPr>
              <w:t>)</w:t>
            </w:r>
            <w:r w:rsidRPr="00385298" w:rsidDel="0061223C">
              <w:rPr>
                <w:rFonts w:ascii="Times New Roman" w:eastAsia="Times New Roman" w:hAnsi="Times New Roman" w:cs="Times New Roman"/>
                <w:sz w:val="24"/>
                <w:szCs w:val="24"/>
                <w:lang w:val="bg-BG"/>
              </w:rPr>
              <w:t xml:space="preserve"> </w:t>
            </w:r>
            <w:r w:rsidRPr="00385298">
              <w:rPr>
                <w:rFonts w:ascii="Times New Roman" w:eastAsia="Times New Roman" w:hAnsi="Times New Roman" w:cs="Times New Roman"/>
                <w:sz w:val="24"/>
                <w:szCs w:val="24"/>
                <w:lang w:val="bg-BG"/>
              </w:rPr>
              <w:t>или свидетелство за калфа за един или повече занаяти (</w:t>
            </w:r>
            <w:r w:rsidRPr="00385298">
              <w:rPr>
                <w:rFonts w:ascii="Times New Roman" w:eastAsia="Times New Roman" w:hAnsi="Times New Roman" w:cs="Times New Roman"/>
                <w:i/>
                <w:sz w:val="24"/>
                <w:szCs w:val="24"/>
                <w:lang w:val="bg-BG"/>
              </w:rPr>
              <w:t>издадено/и от Регионалната занаятчийска камара и е вписан в съответния регистър</w:t>
            </w:r>
            <w:r w:rsidRPr="00385298">
              <w:rPr>
                <w:rFonts w:ascii="Times New Roman" w:eastAsia="Times New Roman" w:hAnsi="Times New Roman" w:cs="Times New Roman"/>
                <w:sz w:val="24"/>
                <w:szCs w:val="24"/>
                <w:lang w:val="bg-BG"/>
              </w:rPr>
              <w:t>), за дейностите включени в бизнес плана и насочени към занаяти</w:t>
            </w:r>
            <w:r w:rsidRPr="00385298">
              <w:rPr>
                <w:rFonts w:ascii="Times New Roman" w:eastAsia="Times New Roman" w:hAnsi="Times New Roman" w:cs="Times New Roman"/>
                <w:sz w:val="24"/>
                <w:szCs w:val="24"/>
                <w:shd w:val="clear" w:color="auto" w:fill="FEFEFE"/>
                <w:lang w:val="bg-BG"/>
              </w:rPr>
              <w:t xml:space="preserve"> –</w:t>
            </w:r>
            <w:r w:rsidRPr="00385298">
              <w:rPr>
                <w:rFonts w:ascii="Times New Roman" w:eastAsia="Times New Roman" w:hAnsi="Times New Roman" w:cs="Times New Roman"/>
                <w:b/>
                <w:sz w:val="24"/>
                <w:szCs w:val="24"/>
                <w:shd w:val="clear" w:color="auto" w:fill="FEFEFE"/>
                <w:lang w:val="bg-BG"/>
              </w:rPr>
              <w:t xml:space="preserve"> 5 точки.</w:t>
            </w:r>
          </w:p>
          <w:p w:rsidR="00385298" w:rsidRPr="00385298" w:rsidRDefault="00385298" w:rsidP="002D7908">
            <w:pPr>
              <w:spacing w:before="120" w:after="120"/>
              <w:jc w:val="both"/>
              <w:rPr>
                <w:rFonts w:ascii="Times New Roman" w:eastAsia="Times New Roman" w:hAnsi="Times New Roman" w:cs="Times New Roman"/>
                <w:sz w:val="24"/>
                <w:szCs w:val="24"/>
                <w:lang w:val="bg-BG"/>
              </w:rPr>
            </w:pPr>
            <w:r w:rsidRPr="00385298">
              <w:rPr>
                <w:rFonts w:ascii="Times New Roman" w:eastAsia="Times New Roman" w:hAnsi="Times New Roman" w:cs="Times New Roman"/>
                <w:b/>
                <w:sz w:val="24"/>
                <w:szCs w:val="24"/>
                <w:shd w:val="clear" w:color="auto" w:fill="FEFEFE"/>
                <w:lang w:val="bg-BG"/>
              </w:rPr>
              <w:t>2.</w:t>
            </w:r>
            <w:r w:rsidRPr="00385298">
              <w:rPr>
                <w:rFonts w:ascii="Times New Roman" w:eastAsia="Times New Roman" w:hAnsi="Times New Roman" w:cs="Times New Roman"/>
                <w:sz w:val="24"/>
                <w:szCs w:val="24"/>
                <w:shd w:val="clear" w:color="auto" w:fill="FEFEFE"/>
                <w:lang w:val="bg-BG"/>
              </w:rPr>
              <w:t xml:space="preserve"> Проектни предложения, подадени от кандидати, които извършват дейност от най-малко три години преди датата на кандидатстване</w:t>
            </w:r>
            <w:r w:rsidRPr="00385298" w:rsidDel="00B008B3">
              <w:rPr>
                <w:rFonts w:ascii="Times New Roman" w:eastAsia="Times New Roman" w:hAnsi="Times New Roman" w:cs="Times New Roman"/>
                <w:sz w:val="24"/>
                <w:szCs w:val="24"/>
                <w:shd w:val="clear" w:color="auto" w:fill="FEFEFE"/>
                <w:lang w:val="bg-BG"/>
              </w:rPr>
              <w:t xml:space="preserve"> </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b/>
                <w:i/>
                <w:sz w:val="24"/>
                <w:szCs w:val="24"/>
                <w:shd w:val="clear" w:color="auto" w:fill="FEFEFE"/>
                <w:lang w:val="bg-BG"/>
              </w:rPr>
              <w:t>критерий за оценка № 2.1</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sz w:val="24"/>
                <w:szCs w:val="24"/>
                <w:shd w:val="clear" w:color="auto" w:fill="FEFEFE"/>
                <w:lang w:val="bg-BG"/>
              </w:rPr>
              <w:t xml:space="preserve"> Кандидатите трябва да са регистрирани в Търговски регистър и регистър на ЮЛНЦ</w:t>
            </w:r>
            <w:r w:rsidRPr="00385298" w:rsidDel="00B008B3">
              <w:rPr>
                <w:rFonts w:ascii="Times New Roman" w:eastAsia="Times New Roman" w:hAnsi="Times New Roman" w:cs="Times New Roman"/>
                <w:sz w:val="24"/>
                <w:szCs w:val="24"/>
                <w:shd w:val="clear" w:color="auto" w:fill="FEFEFE"/>
                <w:lang w:val="bg-BG"/>
              </w:rPr>
              <w:t xml:space="preserve"> </w:t>
            </w:r>
            <w:r w:rsidRPr="00385298">
              <w:rPr>
                <w:rFonts w:ascii="Times New Roman" w:eastAsia="Times New Roman" w:hAnsi="Times New Roman" w:cs="Times New Roman"/>
                <w:sz w:val="24"/>
                <w:szCs w:val="24"/>
                <w:shd w:val="clear" w:color="auto" w:fill="FEFEFE"/>
                <w:lang w:val="bg-BG"/>
              </w:rPr>
              <w:t xml:space="preserve">от най-малко три години преди датата на кандидатстване </w:t>
            </w:r>
            <w:r w:rsidRPr="00385298">
              <w:rPr>
                <w:rFonts w:ascii="Times New Roman" w:eastAsia="Times New Roman" w:hAnsi="Times New Roman" w:cs="Times New Roman"/>
                <w:sz w:val="24"/>
                <w:szCs w:val="24"/>
                <w:lang w:val="bg-BG"/>
              </w:rPr>
              <w:t>(2019 г., 2020 г. и 2021</w:t>
            </w:r>
            <w:r w:rsidRPr="00385298">
              <w:rPr>
                <w:rFonts w:ascii="Times New Roman" w:eastAsia="Times New Roman" w:hAnsi="Times New Roman" w:cs="Times New Roman"/>
                <w:sz w:val="24"/>
                <w:szCs w:val="24"/>
                <w:shd w:val="clear" w:color="auto" w:fill="FEFEFE"/>
                <w:lang w:val="bg-BG"/>
              </w:rPr>
              <w:t xml:space="preserve"> г.). Извършва се и </w:t>
            </w:r>
            <w:r w:rsidRPr="00385298">
              <w:rPr>
                <w:rFonts w:ascii="Times New Roman" w:eastAsia="Times New Roman" w:hAnsi="Times New Roman" w:cs="Times New Roman"/>
                <w:bCs/>
                <w:sz w:val="24"/>
                <w:szCs w:val="24"/>
                <w:shd w:val="clear" w:color="auto" w:fill="FEFEFE"/>
                <w:lang w:val="bg-BG"/>
              </w:rPr>
              <w:t xml:space="preserve">служебна проверка </w:t>
            </w:r>
            <w:r w:rsidRPr="00385298">
              <w:rPr>
                <w:rFonts w:ascii="Times New Roman" w:eastAsia="Times New Roman" w:hAnsi="Times New Roman" w:cs="Times New Roman"/>
                <w:sz w:val="24"/>
                <w:szCs w:val="24"/>
                <w:shd w:val="clear" w:color="auto" w:fill="FEFEFE"/>
                <w:lang w:val="bg-BG"/>
              </w:rPr>
              <w:t>в НСИ за отчета за приходите и разходите за последните 3 завършени финансови години</w:t>
            </w:r>
            <w:r w:rsidRPr="00385298">
              <w:rPr>
                <w:rFonts w:ascii="Times New Roman" w:eastAsia="Times New Roman" w:hAnsi="Times New Roman" w:cs="Times New Roman"/>
                <w:iCs/>
                <w:sz w:val="24"/>
                <w:szCs w:val="24"/>
                <w:shd w:val="clear" w:color="auto" w:fill="FEFEFE"/>
                <w:lang w:val="bg-BG"/>
              </w:rPr>
              <w:t xml:space="preserve"> и за целта кандидатите попълват декларация, съгласно съответното приложение от Условията за кандидатстване</w:t>
            </w:r>
            <w:r w:rsidRPr="00385298">
              <w:rPr>
                <w:rFonts w:ascii="Times New Roman" w:eastAsia="Times New Roman" w:hAnsi="Times New Roman" w:cs="Times New Roman"/>
                <w:sz w:val="24"/>
                <w:szCs w:val="24"/>
                <w:shd w:val="clear" w:color="auto" w:fill="FEFEFE"/>
                <w:lang w:val="bg-BG"/>
              </w:rPr>
              <w:t xml:space="preserve">. </w:t>
            </w:r>
            <w:r w:rsidRPr="00385298">
              <w:rPr>
                <w:rFonts w:ascii="Times New Roman" w:eastAsia="Times New Roman" w:hAnsi="Times New Roman" w:cs="Times New Roman"/>
                <w:iCs/>
                <w:sz w:val="24"/>
                <w:szCs w:val="24"/>
                <w:shd w:val="clear" w:color="auto" w:fill="FEFEFE"/>
                <w:lang w:val="bg-BG"/>
              </w:rPr>
              <w:t xml:space="preserve">Не се поставя ограничение по отношение на сектор на икономическата дейност, от която са реализирани приходите </w:t>
            </w:r>
            <w:r w:rsidRPr="00385298">
              <w:rPr>
                <w:rFonts w:ascii="Times New Roman" w:eastAsia="Times New Roman" w:hAnsi="Times New Roman" w:cs="Times New Roman"/>
                <w:sz w:val="24"/>
                <w:szCs w:val="24"/>
                <w:shd w:val="clear" w:color="auto" w:fill="FEFEFE"/>
                <w:lang w:val="bg-BG"/>
              </w:rPr>
              <w:t xml:space="preserve">– </w:t>
            </w:r>
            <w:r w:rsidRPr="00385298">
              <w:rPr>
                <w:rFonts w:ascii="Times New Roman" w:eastAsia="Times New Roman" w:hAnsi="Times New Roman" w:cs="Times New Roman"/>
                <w:b/>
                <w:sz w:val="24"/>
                <w:szCs w:val="24"/>
                <w:shd w:val="clear" w:color="auto" w:fill="FEFEFE"/>
                <w:lang w:val="bg-BG"/>
              </w:rPr>
              <w:t>10 точки</w:t>
            </w:r>
            <w:r w:rsidRPr="00385298">
              <w:rPr>
                <w:rFonts w:ascii="Times New Roman" w:eastAsia="Times New Roman" w:hAnsi="Times New Roman" w:cs="Times New Roman"/>
                <w:sz w:val="24"/>
                <w:szCs w:val="24"/>
                <w:shd w:val="clear" w:color="auto" w:fill="FEFEFE"/>
                <w:lang w:val="bg-BG"/>
              </w:rPr>
              <w:t>.</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t>2.1.</w:t>
            </w:r>
            <w:r w:rsidRPr="00385298">
              <w:rPr>
                <w:rFonts w:ascii="Times New Roman" w:eastAsia="Times New Roman" w:hAnsi="Times New Roman" w:cs="Times New Roman"/>
                <w:sz w:val="24"/>
                <w:szCs w:val="24"/>
                <w:shd w:val="clear" w:color="auto" w:fill="FEFEFE"/>
                <w:lang w:val="bg-BG"/>
              </w:rPr>
              <w:t xml:space="preserve"> Финансовото състояние на кандидата обезпечава реализирането на инвестициите по проектното предложение </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b/>
                <w:i/>
                <w:sz w:val="24"/>
                <w:szCs w:val="24"/>
                <w:shd w:val="clear" w:color="auto" w:fill="FEFEFE"/>
                <w:lang w:val="bg-BG"/>
              </w:rPr>
              <w:t>критерий за оценка № 2.2</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sz w:val="24"/>
                <w:szCs w:val="24"/>
                <w:shd w:val="clear" w:color="auto" w:fill="FEFEFE"/>
                <w:lang w:val="bg-BG"/>
              </w:rPr>
              <w:t xml:space="preserve"> Критерият оценява съотношението между средноаритметичният размер на оперативната печалба на кандидата от последните три завършени финансови години (2019, 2020 и 2021 г.) и заявената стойност на проектното предложение (</w:t>
            </w:r>
            <w:r w:rsidRPr="00385298">
              <w:rPr>
                <w:rFonts w:ascii="Times New Roman" w:eastAsia="Times New Roman" w:hAnsi="Times New Roman" w:cs="Times New Roman"/>
                <w:i/>
                <w:sz w:val="24"/>
                <w:szCs w:val="24"/>
                <w:shd w:val="clear" w:color="auto" w:fill="FEFEFE"/>
                <w:lang w:val="bg-BG"/>
              </w:rPr>
              <w:t xml:space="preserve">стойността на заявените за подпомагане разходи и стойността на </w:t>
            </w:r>
            <w:r w:rsidRPr="00385298">
              <w:rPr>
                <w:rFonts w:ascii="Times New Roman" w:eastAsia="Times New Roman" w:hAnsi="Times New Roman" w:cs="Times New Roman"/>
                <w:bCs/>
                <w:i/>
                <w:sz w:val="24"/>
                <w:szCs w:val="24"/>
                <w:shd w:val="clear" w:color="auto" w:fill="FEFEFE"/>
                <w:lang w:val="bg-BG"/>
              </w:rPr>
              <w:t>инвестиционните разходи, за които не се кандидатства за подпомагане, но са част от цялостния обект на инвестицията и без тях обектът не може да бъде завършен и/или да функционира самостоятелно</w:t>
            </w:r>
            <w:r w:rsidRPr="00385298">
              <w:rPr>
                <w:rFonts w:ascii="Times New Roman" w:eastAsia="Times New Roman" w:hAnsi="Times New Roman" w:cs="Times New Roman"/>
                <w:bCs/>
                <w:sz w:val="24"/>
                <w:szCs w:val="24"/>
                <w:shd w:val="clear" w:color="auto" w:fill="FEFEFE"/>
                <w:lang w:val="bg-BG"/>
              </w:rPr>
              <w:t xml:space="preserve">). </w:t>
            </w:r>
            <w:r w:rsidRPr="00385298">
              <w:rPr>
                <w:rFonts w:ascii="Times New Roman" w:eastAsia="Times New Roman" w:hAnsi="Times New Roman" w:cs="Times New Roman"/>
                <w:sz w:val="24"/>
                <w:szCs w:val="24"/>
                <w:shd w:val="clear" w:color="auto" w:fill="FEFEFE"/>
                <w:lang w:val="bg-BG"/>
              </w:rPr>
              <w:t>Точките по проектното предложение (Т) се изчисляват по следната формула:</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Т = 50*(Средноаритметичната стойност на оперативната печалба/Стойността на проектното предложение)</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Закръглява се до втория знак след десетичната запетая.</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При отрицателен резултат, точките са „0“</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 xml:space="preserve">Оперативната печалба на кандидата от последните три завършени финансови години (2019 г., 2020 г. и 2021 г.), се определя, като се използват следните данни от ОПР за съответната финансова година: стойността от Раздел А, т. I „Приходи от оперативна дейност”, ред „Общо за група I”, (код 15000) от приходната част на ОПР за съответната финансова година </w:t>
            </w:r>
            <w:r w:rsidRPr="00385298">
              <w:rPr>
                <w:rFonts w:ascii="Times New Roman" w:eastAsia="Times New Roman" w:hAnsi="Times New Roman" w:cs="Times New Roman"/>
                <w:i/>
                <w:sz w:val="24"/>
                <w:szCs w:val="24"/>
                <w:u w:val="single"/>
                <w:shd w:val="clear" w:color="auto" w:fill="FEFEFE"/>
                <w:lang w:val="bg-BG"/>
              </w:rPr>
              <w:t>минус</w:t>
            </w:r>
            <w:r w:rsidRPr="00385298">
              <w:rPr>
                <w:rFonts w:ascii="Times New Roman" w:eastAsia="Times New Roman" w:hAnsi="Times New Roman" w:cs="Times New Roman"/>
                <w:sz w:val="24"/>
                <w:szCs w:val="24"/>
                <w:shd w:val="clear" w:color="auto" w:fill="FEFEFE"/>
                <w:lang w:val="bg-BG"/>
              </w:rPr>
              <w:t xml:space="preserve"> стойността от Раздел А, т. I „Разходи за оперативна дейност”, ред „Общо за група I”, (код 10000) от разходната част на ОПР за съответната финансова година </w:t>
            </w:r>
            <w:r w:rsidRPr="00385298">
              <w:rPr>
                <w:rFonts w:ascii="Times New Roman" w:eastAsia="Times New Roman" w:hAnsi="Times New Roman" w:cs="Times New Roman"/>
                <w:i/>
                <w:sz w:val="24"/>
                <w:szCs w:val="24"/>
                <w:u w:val="single"/>
                <w:shd w:val="clear" w:color="auto" w:fill="FEFEFE"/>
                <w:lang w:val="bg-BG"/>
              </w:rPr>
              <w:t>плюс</w:t>
            </w:r>
            <w:r w:rsidRPr="00385298">
              <w:rPr>
                <w:rFonts w:ascii="Times New Roman" w:eastAsia="Times New Roman" w:hAnsi="Times New Roman" w:cs="Times New Roman"/>
                <w:sz w:val="24"/>
                <w:szCs w:val="24"/>
                <w:shd w:val="clear" w:color="auto" w:fill="FEFEFE"/>
                <w:lang w:val="bg-BG"/>
              </w:rPr>
              <w:t xml:space="preserve"> стойността от ред „Разходи за амортизация и обезценка на дълготрайни материални и нематериални активи”, (код 10410) от разходната част на ОПР за съответната финансова година. Изчислява се средноаритметичния размер на оперативната печалба за последните три завършени финансови години (2019 г., 2020 г. и 2021 г.) с помощта на Таблица „Оперативна печалба“ от Приложение № …... В случай, че кандидатът не съставя ОПР съгласно Закона за счетоводството, за източник на информация се използва „Приложение № 3 - доходи от друга стопанска дейност“ от Годишна данъчна декларация (ГДД) за съответната година на физическото лице, като се взимат предвид стойността от ред 3 „Сума на доходите, подлежащи на облагане по реда на чл. 29 от ЗДДФЛ“ и ред 4 „Разходи за дейността“. Данните ще се взимат по служебен път от НСИ и/или НАП, като за годините, за които кандидатът не е подал ГФО или ГДД ще се считат за 0 (нула), като за целта кандидатите попълват декларация, съгласно съответното приложение от Условията за кандидатстване – </w:t>
            </w:r>
            <w:r w:rsidRPr="00385298">
              <w:rPr>
                <w:rFonts w:ascii="Times New Roman" w:eastAsia="Times New Roman" w:hAnsi="Times New Roman" w:cs="Times New Roman"/>
                <w:b/>
                <w:sz w:val="24"/>
                <w:szCs w:val="24"/>
                <w:shd w:val="clear" w:color="auto" w:fill="FEFEFE"/>
                <w:lang w:val="bg-BG"/>
              </w:rPr>
              <w:t>15 точки</w:t>
            </w:r>
            <w:r w:rsidRPr="00385298">
              <w:rPr>
                <w:rFonts w:ascii="Times New Roman" w:eastAsia="Times New Roman" w:hAnsi="Times New Roman" w:cs="Times New Roman"/>
                <w:sz w:val="24"/>
                <w:szCs w:val="24"/>
                <w:shd w:val="clear" w:color="auto" w:fill="FEFEFE"/>
                <w:lang w:val="bg-BG"/>
              </w:rPr>
              <w:t>.</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lastRenderedPageBreak/>
              <w:t xml:space="preserve">Забележка: </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 xml:space="preserve"> Не се поставя ограничение по отношение на сектор на икономическата дейност, от която e реализирана печалбата.</w:t>
            </w:r>
          </w:p>
          <w:p w:rsidR="00385298" w:rsidRPr="00385298" w:rsidRDefault="00385298" w:rsidP="002D7908">
            <w:pPr>
              <w:widowControl w:val="0"/>
              <w:autoSpaceDE w:val="0"/>
              <w:autoSpaceDN w:val="0"/>
              <w:adjustRightInd w:val="0"/>
              <w:jc w:val="both"/>
              <w:rPr>
                <w:rFonts w:ascii="Times New Roman" w:hAnsi="Times New Roman" w:cs="Times New Roman"/>
                <w:b/>
                <w:sz w:val="24"/>
                <w:szCs w:val="24"/>
                <w:lang w:val="bg-BG"/>
              </w:rPr>
            </w:pPr>
            <w:r w:rsidRPr="00385298">
              <w:rPr>
                <w:rFonts w:ascii="Times New Roman" w:eastAsia="Times New Roman" w:hAnsi="Times New Roman" w:cs="Times New Roman"/>
                <w:b/>
                <w:sz w:val="24"/>
                <w:szCs w:val="24"/>
                <w:shd w:val="clear" w:color="auto" w:fill="FEFEFE"/>
                <w:lang w:val="bg-BG"/>
              </w:rPr>
              <w:t>2.2.</w:t>
            </w:r>
            <w:r w:rsidRPr="00385298">
              <w:rPr>
                <w:rFonts w:ascii="Times New Roman" w:eastAsia="Times New Roman" w:hAnsi="Times New Roman" w:cs="Times New Roman"/>
                <w:sz w:val="24"/>
                <w:szCs w:val="24"/>
                <w:shd w:val="clear" w:color="auto" w:fill="FEFEFE"/>
                <w:lang w:val="bg-BG"/>
              </w:rPr>
              <w:t xml:space="preserve"> Проекти на кандидати, на които седалището е в същата община, в която ще се извършва инвестицията от най-малко 12 месеца.</w:t>
            </w:r>
            <w:r w:rsidRPr="00385298" w:rsidDel="0093664A">
              <w:rPr>
                <w:rFonts w:ascii="Times New Roman" w:eastAsia="Times New Roman" w:hAnsi="Times New Roman" w:cs="Times New Roman"/>
                <w:sz w:val="24"/>
                <w:szCs w:val="24"/>
                <w:shd w:val="clear" w:color="auto" w:fill="FEFEFE"/>
                <w:lang w:val="bg-BG"/>
              </w:rPr>
              <w:t xml:space="preserve"> </w:t>
            </w:r>
            <w:r w:rsidRPr="00385298">
              <w:rPr>
                <w:rFonts w:ascii="Times New Roman" w:hAnsi="Times New Roman" w:cs="Times New Roman"/>
                <w:sz w:val="24"/>
                <w:szCs w:val="24"/>
                <w:lang w:val="bg-BG"/>
              </w:rPr>
              <w:t>(</w:t>
            </w:r>
            <w:r w:rsidRPr="00385298">
              <w:rPr>
                <w:rFonts w:ascii="Times New Roman" w:eastAsia="Times New Roman" w:hAnsi="Times New Roman" w:cs="Times New Roman"/>
                <w:b/>
                <w:i/>
                <w:sz w:val="24"/>
                <w:szCs w:val="24"/>
                <w:shd w:val="clear" w:color="auto" w:fill="FEFEFE"/>
                <w:lang w:val="bg-BG"/>
              </w:rPr>
              <w:t xml:space="preserve">критерий за оценка № 2.3). </w:t>
            </w:r>
            <w:r w:rsidRPr="00385298">
              <w:rPr>
                <w:rFonts w:ascii="Times New Roman" w:eastAsia="Times New Roman" w:hAnsi="Times New Roman" w:cs="Times New Roman"/>
                <w:sz w:val="24"/>
                <w:szCs w:val="24"/>
                <w:shd w:val="clear" w:color="auto" w:fill="FEFEFE"/>
                <w:lang w:val="bg-BG"/>
              </w:rPr>
              <w:t>Точки по критерия</w:t>
            </w:r>
            <w:r w:rsidRPr="00385298">
              <w:rPr>
                <w:rFonts w:ascii="Times New Roman" w:eastAsia="Times New Roman" w:hAnsi="Times New Roman" w:cs="Times New Roman"/>
                <w:i/>
                <w:sz w:val="24"/>
                <w:szCs w:val="24"/>
                <w:shd w:val="clear" w:color="auto" w:fill="FEFEFE"/>
                <w:lang w:val="bg-BG"/>
              </w:rPr>
              <w:t xml:space="preserve"> </w:t>
            </w:r>
            <w:r w:rsidRPr="00385298">
              <w:rPr>
                <w:rFonts w:ascii="Times New Roman" w:hAnsi="Times New Roman" w:cs="Times New Roman"/>
                <w:sz w:val="24"/>
                <w:szCs w:val="24"/>
                <w:lang w:val="bg-BG"/>
              </w:rPr>
              <w:t xml:space="preserve">получават проектни предложения, при които съгласно данни от „Търговски регистър и регистър на ЮЛНЦ“ е установено, че седалището на дружеството от най-малко 12 месеца преди датата на кандидатстване е в същата община от селски район, където е предвидено да се осъществява инвестицията по проектното предложение. Новообразувани предприятия по смисъла на ЗМСП не получават точки по критерия – </w:t>
            </w:r>
            <w:r w:rsidRPr="00385298">
              <w:rPr>
                <w:rFonts w:ascii="Times New Roman" w:hAnsi="Times New Roman" w:cs="Times New Roman"/>
                <w:b/>
                <w:sz w:val="24"/>
                <w:szCs w:val="24"/>
                <w:lang w:val="bg-BG"/>
              </w:rPr>
              <w:t>5 точки.</w:t>
            </w:r>
          </w:p>
          <w:p w:rsidR="00385298" w:rsidRPr="00385298" w:rsidRDefault="00385298" w:rsidP="002D7908">
            <w:pPr>
              <w:widowControl w:val="0"/>
              <w:autoSpaceDE w:val="0"/>
              <w:autoSpaceDN w:val="0"/>
              <w:adjustRightInd w:val="0"/>
              <w:jc w:val="both"/>
              <w:rPr>
                <w:rFonts w:ascii="Times New Roman" w:hAnsi="Times New Roman" w:cs="Times New Roman"/>
                <w:b/>
                <w:sz w:val="24"/>
                <w:szCs w:val="24"/>
                <w:lang w:val="bg-BG"/>
              </w:rPr>
            </w:pPr>
            <w:r w:rsidRPr="00385298">
              <w:rPr>
                <w:rFonts w:ascii="Times New Roman" w:eastAsia="Times New Roman" w:hAnsi="Times New Roman" w:cs="Times New Roman"/>
                <w:b/>
                <w:sz w:val="24"/>
                <w:szCs w:val="24"/>
                <w:shd w:val="clear" w:color="auto" w:fill="FEFEFE"/>
                <w:lang w:val="bg-BG"/>
              </w:rPr>
              <w:t>2.3.</w:t>
            </w:r>
            <w:r w:rsidRPr="00385298">
              <w:rPr>
                <w:rFonts w:ascii="Times New Roman" w:eastAsia="Times New Roman" w:hAnsi="Times New Roman" w:cs="Times New Roman"/>
                <w:sz w:val="24"/>
                <w:szCs w:val="24"/>
                <w:shd w:val="clear" w:color="auto" w:fill="FEFEFE"/>
                <w:lang w:val="bg-BG"/>
              </w:rPr>
              <w:t xml:space="preserve"> Проекти на кандидати, на които седалището е в същата община, в която ще се извършва инвестицията от най-малко 24 месеца.</w:t>
            </w:r>
            <w:r w:rsidRPr="00385298" w:rsidDel="0093664A">
              <w:rPr>
                <w:rFonts w:ascii="Times New Roman" w:eastAsia="Times New Roman" w:hAnsi="Times New Roman" w:cs="Times New Roman"/>
                <w:sz w:val="24"/>
                <w:szCs w:val="24"/>
                <w:shd w:val="clear" w:color="auto" w:fill="FEFEFE"/>
                <w:lang w:val="bg-BG"/>
              </w:rPr>
              <w:t xml:space="preserve"> </w:t>
            </w:r>
            <w:r w:rsidRPr="00385298">
              <w:rPr>
                <w:rFonts w:ascii="Times New Roman" w:hAnsi="Times New Roman" w:cs="Times New Roman"/>
                <w:sz w:val="24"/>
                <w:szCs w:val="24"/>
                <w:lang w:val="bg-BG"/>
              </w:rPr>
              <w:t>(</w:t>
            </w:r>
            <w:r w:rsidRPr="00385298">
              <w:rPr>
                <w:rFonts w:ascii="Times New Roman" w:eastAsia="Times New Roman" w:hAnsi="Times New Roman" w:cs="Times New Roman"/>
                <w:b/>
                <w:i/>
                <w:sz w:val="24"/>
                <w:szCs w:val="24"/>
                <w:shd w:val="clear" w:color="auto" w:fill="FEFEFE"/>
                <w:lang w:val="bg-BG"/>
              </w:rPr>
              <w:t xml:space="preserve">критерий за оценка № 2.4). </w:t>
            </w:r>
            <w:r w:rsidRPr="00385298">
              <w:rPr>
                <w:rFonts w:ascii="Times New Roman" w:eastAsia="Times New Roman" w:hAnsi="Times New Roman" w:cs="Times New Roman"/>
                <w:sz w:val="24"/>
                <w:szCs w:val="24"/>
                <w:shd w:val="clear" w:color="auto" w:fill="FEFEFE"/>
                <w:lang w:val="bg-BG"/>
              </w:rPr>
              <w:t>Точки по критерия</w:t>
            </w:r>
            <w:r w:rsidRPr="00385298">
              <w:rPr>
                <w:rFonts w:ascii="Times New Roman" w:eastAsia="Times New Roman" w:hAnsi="Times New Roman" w:cs="Times New Roman"/>
                <w:i/>
                <w:sz w:val="24"/>
                <w:szCs w:val="24"/>
                <w:shd w:val="clear" w:color="auto" w:fill="FEFEFE"/>
                <w:lang w:val="bg-BG"/>
              </w:rPr>
              <w:t xml:space="preserve"> </w:t>
            </w:r>
            <w:r w:rsidRPr="00385298">
              <w:rPr>
                <w:rFonts w:ascii="Times New Roman" w:hAnsi="Times New Roman" w:cs="Times New Roman"/>
                <w:sz w:val="24"/>
                <w:szCs w:val="24"/>
                <w:lang w:val="bg-BG"/>
              </w:rPr>
              <w:t xml:space="preserve">получават проектни предложения, при които съгласно данни от „Търговски регистър и регистър на ЮЛНЦ“ е установено, че седалището на дружеството от най-малко 24 месеца преди датата на кандидатстване е в същата община от селски район, където е предвидено да се осъществява инвестицията по проектното предложение. Новообразувани предприятия по смисъла на ЗМСП не получават точки по критерия – </w:t>
            </w:r>
            <w:r w:rsidRPr="00385298">
              <w:rPr>
                <w:rFonts w:ascii="Times New Roman" w:hAnsi="Times New Roman" w:cs="Times New Roman"/>
                <w:b/>
                <w:sz w:val="24"/>
                <w:szCs w:val="24"/>
                <w:lang w:val="bg-BG"/>
              </w:rPr>
              <w:t>10 точки.</w:t>
            </w:r>
          </w:p>
          <w:p w:rsidR="00385298" w:rsidRPr="00385298" w:rsidRDefault="00385298" w:rsidP="002D7908">
            <w:pPr>
              <w:widowControl w:val="0"/>
              <w:autoSpaceDE w:val="0"/>
              <w:autoSpaceDN w:val="0"/>
              <w:adjustRightInd w:val="0"/>
              <w:jc w:val="both"/>
              <w:rPr>
                <w:rFonts w:ascii="Times New Roman" w:hAnsi="Times New Roman" w:cs="Times New Roman"/>
                <w:sz w:val="24"/>
                <w:szCs w:val="24"/>
                <w:lang w:val="bg-BG"/>
              </w:rPr>
            </w:pPr>
            <w:r w:rsidRPr="00385298">
              <w:rPr>
                <w:rFonts w:ascii="Times New Roman" w:eastAsia="Times New Roman" w:hAnsi="Times New Roman" w:cs="Times New Roman"/>
                <w:b/>
                <w:sz w:val="24"/>
                <w:szCs w:val="24"/>
                <w:shd w:val="clear" w:color="auto" w:fill="FEFEFE"/>
                <w:lang w:val="bg-BG"/>
              </w:rPr>
              <w:t>2.4.</w:t>
            </w:r>
            <w:r w:rsidRPr="00385298">
              <w:rPr>
                <w:rFonts w:ascii="Times New Roman" w:eastAsia="Times New Roman" w:hAnsi="Times New Roman" w:cs="Times New Roman"/>
                <w:sz w:val="24"/>
                <w:szCs w:val="24"/>
                <w:shd w:val="clear" w:color="auto" w:fill="FEFEFE"/>
                <w:lang w:val="bg-BG"/>
              </w:rPr>
              <w:t xml:space="preserve"> Проекти на кандидати, на които седалището е в същата община, в която ще се извършва инвестицията от най-малко 36 месеца.</w:t>
            </w:r>
            <w:r w:rsidRPr="00385298" w:rsidDel="0093664A">
              <w:rPr>
                <w:rFonts w:ascii="Times New Roman" w:eastAsia="Times New Roman" w:hAnsi="Times New Roman" w:cs="Times New Roman"/>
                <w:sz w:val="24"/>
                <w:szCs w:val="24"/>
                <w:shd w:val="clear" w:color="auto" w:fill="FEFEFE"/>
                <w:lang w:val="bg-BG"/>
              </w:rPr>
              <w:t xml:space="preserve"> </w:t>
            </w:r>
            <w:r w:rsidRPr="00385298">
              <w:rPr>
                <w:rFonts w:ascii="Times New Roman" w:hAnsi="Times New Roman" w:cs="Times New Roman"/>
                <w:sz w:val="24"/>
                <w:szCs w:val="24"/>
                <w:lang w:val="bg-BG"/>
              </w:rPr>
              <w:t>(</w:t>
            </w:r>
            <w:r w:rsidRPr="00385298">
              <w:rPr>
                <w:rFonts w:ascii="Times New Roman" w:eastAsia="Times New Roman" w:hAnsi="Times New Roman" w:cs="Times New Roman"/>
                <w:b/>
                <w:i/>
                <w:sz w:val="24"/>
                <w:szCs w:val="24"/>
                <w:shd w:val="clear" w:color="auto" w:fill="FEFEFE"/>
                <w:lang w:val="bg-BG"/>
              </w:rPr>
              <w:t xml:space="preserve">критерий за оценка № 2.5). </w:t>
            </w:r>
            <w:r w:rsidRPr="00385298">
              <w:rPr>
                <w:rFonts w:ascii="Times New Roman" w:eastAsia="Times New Roman" w:hAnsi="Times New Roman" w:cs="Times New Roman"/>
                <w:sz w:val="24"/>
                <w:szCs w:val="24"/>
                <w:shd w:val="clear" w:color="auto" w:fill="FEFEFE"/>
                <w:lang w:val="bg-BG"/>
              </w:rPr>
              <w:t>Точки по критерия</w:t>
            </w:r>
            <w:r w:rsidRPr="00385298">
              <w:rPr>
                <w:rFonts w:ascii="Times New Roman" w:eastAsia="Times New Roman" w:hAnsi="Times New Roman" w:cs="Times New Roman"/>
                <w:i/>
                <w:sz w:val="24"/>
                <w:szCs w:val="24"/>
                <w:shd w:val="clear" w:color="auto" w:fill="FEFEFE"/>
                <w:lang w:val="bg-BG"/>
              </w:rPr>
              <w:t xml:space="preserve"> </w:t>
            </w:r>
            <w:r w:rsidRPr="00385298">
              <w:rPr>
                <w:rFonts w:ascii="Times New Roman" w:hAnsi="Times New Roman" w:cs="Times New Roman"/>
                <w:sz w:val="24"/>
                <w:szCs w:val="24"/>
                <w:lang w:val="bg-BG"/>
              </w:rPr>
              <w:t xml:space="preserve">получават проектни предложения, при които съгласно данни от „Търговски регистър и регистър на ЮЛНЦ“ е установено, че седалището на дружеството от най-малко 36 месеца  преди датата на кандидатстване е в същата община от селски район, където е предвидено да се осъществява инвестицията по проектното предложение. Новообразувани предприятия по смисъла на ЗМСП не получават точки по критерия – </w:t>
            </w:r>
            <w:r w:rsidRPr="00385298">
              <w:rPr>
                <w:rFonts w:ascii="Times New Roman" w:hAnsi="Times New Roman" w:cs="Times New Roman"/>
                <w:b/>
                <w:sz w:val="24"/>
                <w:szCs w:val="24"/>
                <w:lang w:val="bg-BG"/>
              </w:rPr>
              <w:t>15 точки.</w:t>
            </w:r>
          </w:p>
          <w:p w:rsidR="00385298" w:rsidRPr="00385298" w:rsidRDefault="00385298" w:rsidP="002D7908">
            <w:pPr>
              <w:widowControl w:val="0"/>
              <w:autoSpaceDE w:val="0"/>
              <w:autoSpaceDN w:val="0"/>
              <w:adjustRightInd w:val="0"/>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t>3.</w:t>
            </w:r>
            <w:r w:rsidRPr="00385298">
              <w:rPr>
                <w:rFonts w:ascii="Times New Roman" w:eastAsia="Times New Roman" w:hAnsi="Times New Roman" w:cs="Times New Roman"/>
                <w:sz w:val="24"/>
                <w:szCs w:val="24"/>
                <w:shd w:val="clear" w:color="auto" w:fill="FEFEFE"/>
                <w:lang w:val="bg-BG"/>
              </w:rPr>
              <w:t xml:space="preserve"> Проектни предложения в секторите, посочени в Приложение № ….. към условията за кандидатстване </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b/>
                <w:i/>
                <w:sz w:val="24"/>
                <w:szCs w:val="24"/>
                <w:shd w:val="clear" w:color="auto" w:fill="FEFEFE"/>
                <w:lang w:val="bg-BG"/>
              </w:rPr>
              <w:t>критерий за оценка № 3.1</w:t>
            </w:r>
            <w:r w:rsidRPr="00385298">
              <w:rPr>
                <w:rFonts w:ascii="Times New Roman" w:eastAsia="Times New Roman" w:hAnsi="Times New Roman" w:cs="Times New Roman"/>
                <w:i/>
                <w:sz w:val="24"/>
                <w:szCs w:val="24"/>
                <w:shd w:val="clear" w:color="auto" w:fill="FEFEFE"/>
                <w:lang w:val="bg-BG"/>
              </w:rPr>
              <w:t>)</w:t>
            </w:r>
            <w:r w:rsidRPr="00385298">
              <w:rPr>
                <w:rFonts w:ascii="Times New Roman" w:eastAsia="Times New Roman" w:hAnsi="Times New Roman" w:cs="Times New Roman"/>
                <w:sz w:val="24"/>
                <w:szCs w:val="24"/>
                <w:shd w:val="clear" w:color="auto" w:fill="FEFEFE"/>
                <w:lang w:val="bg-BG"/>
              </w:rPr>
              <w:t>.</w:t>
            </w:r>
            <w:r w:rsidRPr="00385298">
              <w:rPr>
                <w:rFonts w:ascii="Times New Roman" w:eastAsia="Times New Roman" w:hAnsi="Times New Roman" w:cs="Times New Roman"/>
                <w:i/>
                <w:sz w:val="24"/>
                <w:szCs w:val="24"/>
                <w:shd w:val="clear" w:color="auto" w:fill="FEFEFE"/>
                <w:lang w:val="bg-BG"/>
              </w:rPr>
              <w:t xml:space="preserve"> </w:t>
            </w:r>
            <w:r w:rsidRPr="00385298">
              <w:rPr>
                <w:rFonts w:ascii="Times New Roman" w:eastAsia="Times New Roman" w:hAnsi="Times New Roman" w:cs="Times New Roman"/>
                <w:sz w:val="24"/>
                <w:szCs w:val="24"/>
                <w:shd w:val="clear" w:color="auto" w:fill="FEFEFE"/>
                <w:lang w:val="bg-BG"/>
              </w:rPr>
              <w:t xml:space="preserve">Точки по критерия получават кандидати, чиито проектни предложения попадат изцяло в един или повече от изброените в приложението раздели и приходите в бизнес плана по проектното предложение се реализират изцяло от тези сектори – </w:t>
            </w:r>
            <w:r w:rsidRPr="00385298">
              <w:rPr>
                <w:rFonts w:ascii="Times New Roman" w:eastAsia="Times New Roman" w:hAnsi="Times New Roman" w:cs="Times New Roman"/>
                <w:b/>
                <w:sz w:val="24"/>
                <w:szCs w:val="24"/>
                <w:shd w:val="clear" w:color="auto" w:fill="FEFEFE"/>
                <w:lang w:val="bg-BG"/>
              </w:rPr>
              <w:t>5 точки</w:t>
            </w:r>
            <w:r w:rsidRPr="00385298">
              <w:rPr>
                <w:rFonts w:ascii="Times New Roman" w:eastAsia="Times New Roman" w:hAnsi="Times New Roman" w:cs="Times New Roman"/>
                <w:sz w:val="24"/>
                <w:szCs w:val="24"/>
                <w:shd w:val="clear" w:color="auto" w:fill="FEFEFE"/>
                <w:lang w:val="bg-BG"/>
              </w:rPr>
              <w:t>.</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t>4.</w:t>
            </w:r>
            <w:r w:rsidRPr="00385298">
              <w:rPr>
                <w:rFonts w:ascii="Times New Roman" w:eastAsia="Times New Roman" w:hAnsi="Times New Roman" w:cs="Times New Roman"/>
                <w:sz w:val="24"/>
                <w:szCs w:val="24"/>
                <w:shd w:val="clear" w:color="auto" w:fill="FEFEFE"/>
                <w:lang w:val="bg-BG"/>
              </w:rPr>
              <w:t xml:space="preserve"> Проектни предложения, изпълнявани в Северозападен район и Северен централен район (</w:t>
            </w:r>
            <w:r w:rsidRPr="00385298">
              <w:rPr>
                <w:rFonts w:ascii="Times New Roman" w:eastAsia="Times New Roman" w:hAnsi="Times New Roman" w:cs="Times New Roman"/>
                <w:b/>
                <w:i/>
                <w:sz w:val="24"/>
                <w:szCs w:val="24"/>
                <w:shd w:val="clear" w:color="auto" w:fill="FEFEFE"/>
                <w:lang w:val="bg-BG"/>
              </w:rPr>
              <w:t>критерий за оценка № 4</w:t>
            </w:r>
            <w:r w:rsidRPr="00385298">
              <w:rPr>
                <w:rFonts w:ascii="Times New Roman" w:eastAsia="Times New Roman" w:hAnsi="Times New Roman" w:cs="Times New Roman"/>
                <w:sz w:val="24"/>
                <w:szCs w:val="24"/>
                <w:shd w:val="clear" w:color="auto" w:fill="FEFEFE"/>
                <w:lang w:val="bg-BG"/>
              </w:rPr>
              <w:t>) са такива, при които всички инвестиции по проектното предложение, за които се кандидатства, се намират в административна област, посочена в съответното приложение</w:t>
            </w:r>
            <w:r w:rsidRPr="00385298">
              <w:rPr>
                <w:rFonts w:ascii="Times New Roman" w:eastAsia="Times New Roman" w:hAnsi="Times New Roman" w:cs="Times New Roman"/>
                <w:sz w:val="24"/>
                <w:szCs w:val="24"/>
                <w:lang w:val="bg-BG"/>
              </w:rPr>
              <w:t xml:space="preserve"> </w:t>
            </w:r>
            <w:r w:rsidRPr="00385298">
              <w:rPr>
                <w:rFonts w:ascii="Times New Roman" w:eastAsia="Times New Roman" w:hAnsi="Times New Roman" w:cs="Times New Roman"/>
                <w:sz w:val="24"/>
                <w:szCs w:val="24"/>
                <w:shd w:val="clear" w:color="auto" w:fill="FEFEFE"/>
                <w:lang w:val="bg-BG"/>
              </w:rPr>
              <w:t xml:space="preserve">от Условията за кандидатстване. Когато проектното предложение включва инвестиции, разположени на територията на повече от една област, в обхвата на Северозападен район и Северен централен район, точките по приоритета се определят в зависимост от мястото в рамките, на което са предвидени инвестиции на стойност над 50 на сто от заявените в проектното предложение разходи </w:t>
            </w:r>
            <w:r w:rsidRPr="00385298">
              <w:rPr>
                <w:rFonts w:ascii="Times New Roman" w:eastAsia="Times New Roman" w:hAnsi="Times New Roman" w:cs="Times New Roman"/>
                <w:b/>
                <w:sz w:val="24"/>
                <w:szCs w:val="24"/>
                <w:shd w:val="clear" w:color="auto" w:fill="FEFEFE"/>
                <w:lang w:val="bg-BG"/>
              </w:rPr>
              <w:t>- 2 точки</w:t>
            </w:r>
            <w:r w:rsidRPr="00385298">
              <w:rPr>
                <w:rFonts w:ascii="Times New Roman" w:eastAsia="Times New Roman" w:hAnsi="Times New Roman" w:cs="Times New Roman"/>
                <w:sz w:val="24"/>
                <w:szCs w:val="24"/>
                <w:shd w:val="clear" w:color="auto" w:fill="FEFEFE"/>
                <w:lang w:val="bg-BG"/>
              </w:rPr>
              <w:t>.</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i/>
                <w:color w:val="000000"/>
                <w:sz w:val="24"/>
                <w:szCs w:val="24"/>
                <w:lang w:val="bg-BG"/>
              </w:rPr>
            </w:pP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b/>
                <w:sz w:val="24"/>
                <w:szCs w:val="24"/>
                <w:shd w:val="clear" w:color="auto" w:fill="FEFEFE"/>
                <w:lang w:val="bg-BG"/>
              </w:rPr>
            </w:pPr>
            <w:r w:rsidRPr="00385298">
              <w:rPr>
                <w:rFonts w:ascii="Times New Roman" w:eastAsia="Times New Roman" w:hAnsi="Times New Roman" w:cs="Times New Roman"/>
                <w:b/>
                <w:color w:val="000000"/>
                <w:sz w:val="24"/>
                <w:szCs w:val="24"/>
                <w:lang w:val="bg-BG"/>
              </w:rPr>
              <w:t>5</w:t>
            </w:r>
            <w:r w:rsidRPr="00385298">
              <w:rPr>
                <w:rFonts w:ascii="Times New Roman" w:eastAsia="Times New Roman" w:hAnsi="Times New Roman" w:cs="Times New Roman"/>
                <w:b/>
                <w:i/>
                <w:color w:val="000000"/>
                <w:sz w:val="24"/>
                <w:szCs w:val="24"/>
                <w:lang w:val="bg-BG"/>
              </w:rPr>
              <w:t xml:space="preserve">. </w:t>
            </w:r>
            <w:r w:rsidRPr="00385298">
              <w:rPr>
                <w:rFonts w:ascii="Times New Roman" w:eastAsia="Times New Roman" w:hAnsi="Times New Roman" w:cs="Times New Roman"/>
                <w:sz w:val="24"/>
                <w:szCs w:val="24"/>
                <w:shd w:val="clear" w:color="auto" w:fill="FEFEFE"/>
                <w:lang w:val="bg-BG"/>
              </w:rPr>
              <w:t>Проекти, създаващи нови работни места (</w:t>
            </w:r>
            <w:r w:rsidRPr="00385298">
              <w:rPr>
                <w:rFonts w:ascii="Times New Roman" w:eastAsia="Times New Roman" w:hAnsi="Times New Roman" w:cs="Times New Roman"/>
                <w:b/>
                <w:sz w:val="24"/>
                <w:szCs w:val="24"/>
                <w:shd w:val="clear" w:color="auto" w:fill="FEFEFE"/>
                <w:lang w:val="bg-BG"/>
              </w:rPr>
              <w:t>критерий за оценка № 5.1)</w:t>
            </w:r>
            <w:r w:rsidRPr="00385298">
              <w:rPr>
                <w:rFonts w:ascii="Times New Roman" w:eastAsia="Times New Roman" w:hAnsi="Times New Roman" w:cs="Times New Roman"/>
                <w:sz w:val="24"/>
                <w:szCs w:val="24"/>
                <w:shd w:val="clear" w:color="auto" w:fill="FEFEFE"/>
                <w:lang w:val="bg-BG"/>
              </w:rPr>
              <w:t>.</w:t>
            </w:r>
            <w:r w:rsidRPr="00385298">
              <w:rPr>
                <w:rFonts w:ascii="Times New Roman" w:hAnsi="Times New Roman" w:cs="Times New Roman"/>
                <w:sz w:val="24"/>
                <w:szCs w:val="24"/>
                <w:lang w:val="bg-BG"/>
              </w:rPr>
              <w:t xml:space="preserve"> </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При оценка по критерия се взима предвид и средносписъчния брой на персонала за годината, предхождаща годината на обявяване на процедурата (2021 г.), включително създаване на най – малко едно ново работно място.</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sz w:val="24"/>
                <w:szCs w:val="24"/>
                <w:shd w:val="clear" w:color="auto" w:fill="FEFEFE"/>
                <w:lang w:val="bg-BG"/>
              </w:rPr>
              <w:t xml:space="preserve">Средносписъчният брой на персонала на кандидата по процедурата за 2021 г. се изчислява като сбор от данните за среден списъчен брой на заетите лица, посочени в ред 1001 от Част I, Раздел 1 от „Отчета за заетите лица, средствата за работна заплата и други разходи за труд“ и лицата, посочени в код 1400 и код 1600 от Част II на отчета. За кандидати, несъставящи баланс, данните се взимат от Справка заети лица за 2021 година. Данните от документите се сравняват с посочените данни за персонала от съответните таблици на бизнес плана – </w:t>
            </w:r>
            <w:r w:rsidRPr="00385298">
              <w:rPr>
                <w:rFonts w:ascii="Times New Roman" w:eastAsia="Times New Roman" w:hAnsi="Times New Roman" w:cs="Times New Roman"/>
                <w:b/>
                <w:sz w:val="24"/>
                <w:szCs w:val="24"/>
                <w:shd w:val="clear" w:color="auto" w:fill="FEFEFE"/>
                <w:lang w:val="bg-BG"/>
              </w:rPr>
              <w:t>5 точки</w:t>
            </w:r>
            <w:r w:rsidRPr="00385298">
              <w:rPr>
                <w:rFonts w:ascii="Times New Roman" w:eastAsia="Times New Roman" w:hAnsi="Times New Roman" w:cs="Times New Roman"/>
                <w:sz w:val="24"/>
                <w:szCs w:val="24"/>
                <w:shd w:val="clear" w:color="auto" w:fill="FEFEFE"/>
                <w:lang w:val="bg-BG"/>
              </w:rPr>
              <w:t>.</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lang w:val="bg-BG"/>
              </w:rPr>
            </w:pPr>
          </w:p>
        </w:tc>
      </w:tr>
      <w:tr w:rsidR="00385298" w:rsidRPr="00385298" w:rsidTr="002D7908">
        <w:trPr>
          <w:trHeight w:val="975"/>
        </w:trPr>
        <w:tc>
          <w:tcPr>
            <w:tcW w:w="13320" w:type="dxa"/>
            <w:shd w:val="clear" w:color="auto" w:fill="auto"/>
          </w:tcPr>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lastRenderedPageBreak/>
              <w:t>6.</w:t>
            </w:r>
            <w:r w:rsidRPr="00385298">
              <w:rPr>
                <w:rFonts w:ascii="Times New Roman" w:eastAsia="Times New Roman" w:hAnsi="Times New Roman" w:cs="Times New Roman"/>
                <w:sz w:val="24"/>
                <w:szCs w:val="24"/>
                <w:shd w:val="clear" w:color="auto" w:fill="FEFEFE"/>
                <w:lang w:val="bg-BG"/>
              </w:rPr>
              <w:t xml:space="preserve"> Съответствието с критериите за подбор се преценява към датата на подаване на проектното предложение съобразно приложените към него документи и декларирани данни.</w:t>
            </w:r>
          </w:p>
          <w:p w:rsidR="00385298" w:rsidRPr="00385298" w:rsidRDefault="00385298" w:rsidP="002D7908">
            <w:pPr>
              <w:widowControl w:val="0"/>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t>7.</w:t>
            </w:r>
            <w:r w:rsidRPr="00385298">
              <w:rPr>
                <w:rFonts w:ascii="Times New Roman" w:eastAsia="Times New Roman" w:hAnsi="Times New Roman" w:cs="Times New Roman"/>
                <w:sz w:val="24"/>
                <w:szCs w:val="24"/>
                <w:shd w:val="clear" w:color="auto" w:fill="FEFEFE"/>
                <w:lang w:val="bg-BG"/>
              </w:rPr>
              <w:t xml:space="preserve"> В случай че изпълнението на условията по критериите е станало основание за класиране на кандидата пред други кандидати по реда на тези условия, той се задължава да поддържа съответствие с критериите в срока за изпълнение на проекта, съгласно заложеното в условията за изпълнение и административния договор, с изключение на критерии за оценка 1.1, 2.1, 2.2 и 2.3.</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hAnsi="Times New Roman" w:cs="Times New Roman"/>
                <w:b/>
                <w:sz w:val="24"/>
                <w:szCs w:val="24"/>
                <w:shd w:val="clear" w:color="auto" w:fill="FEFEFE"/>
                <w:lang w:val="bg-BG"/>
              </w:rPr>
              <w:t>8</w:t>
            </w:r>
            <w:r w:rsidRPr="00385298">
              <w:rPr>
                <w:rFonts w:ascii="Times New Roman" w:hAnsi="Times New Roman" w:cs="Times New Roman"/>
                <w:sz w:val="24"/>
                <w:szCs w:val="24"/>
                <w:shd w:val="clear" w:color="auto" w:fill="FEFEFE"/>
                <w:lang w:val="bg-BG"/>
              </w:rPr>
              <w:t>. Подпомагат се проектни предложения, получили най-малко 10 точки съгласно критериите за оценка на проектните предложения.</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eastAsia="Times New Roman" w:hAnsi="Times New Roman" w:cs="Times New Roman"/>
                <w:b/>
                <w:sz w:val="24"/>
                <w:szCs w:val="24"/>
                <w:shd w:val="clear" w:color="auto" w:fill="FEFEFE"/>
                <w:lang w:val="bg-BG"/>
              </w:rPr>
              <w:t>9</w:t>
            </w:r>
            <w:r w:rsidRPr="00385298">
              <w:rPr>
                <w:rFonts w:ascii="Times New Roman" w:eastAsia="Times New Roman" w:hAnsi="Times New Roman" w:cs="Times New Roman"/>
                <w:sz w:val="24"/>
                <w:szCs w:val="24"/>
                <w:shd w:val="clear" w:color="auto" w:fill="FEFEFE"/>
                <w:lang w:val="bg-BG"/>
              </w:rPr>
              <w:t xml:space="preserve">. </w:t>
            </w:r>
            <w:r w:rsidRPr="00385298">
              <w:rPr>
                <w:rFonts w:ascii="Times New Roman" w:hAnsi="Times New Roman" w:cs="Times New Roman"/>
                <w:sz w:val="24"/>
                <w:szCs w:val="24"/>
                <w:shd w:val="clear" w:color="auto" w:fill="FEFEFE"/>
                <w:lang w:val="bg-BG"/>
              </w:rPr>
              <w:t>За проектни предложения, които са получили еднакъв общ брой точки, за които е наличен частичен разполагаем бюджет, класирането се извършва в низходящ ред съобразно получения брой точки по критерий:</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1. № 2.2 „Финансовото състояние на кандидата обезпечава реализирането на инвестициите по проектното предложение“. </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В случай, че проектните предложения имат равен брой точки и по критерий № 2.2, същите ще бъдат класирани съобразно получения брой точки по критерий:</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2. № 2.1 „Проектни предложения, подадени от кандидати, които извършват дейност от най-малко три години преди датата на кандидатстване</w:t>
            </w:r>
            <w:r w:rsidRPr="00385298">
              <w:rPr>
                <w:rFonts w:ascii="Times New Roman" w:eastAsia="Times New Roman" w:hAnsi="Times New Roman" w:cs="Times New Roman"/>
                <w:sz w:val="24"/>
                <w:szCs w:val="24"/>
                <w:shd w:val="clear" w:color="auto" w:fill="FEFEFE"/>
                <w:lang w:val="bg-BG"/>
              </w:rPr>
              <w:t>“</w:t>
            </w:r>
            <w:r w:rsidRPr="00385298">
              <w:rPr>
                <w:rFonts w:ascii="Times New Roman" w:eastAsia="Times New Roman" w:hAnsi="Times New Roman" w:cs="Times New Roman"/>
                <w:i/>
                <w:sz w:val="24"/>
                <w:szCs w:val="24"/>
                <w:shd w:val="clear" w:color="auto" w:fill="FEFEFE"/>
                <w:lang w:val="bg-BG"/>
              </w:rPr>
              <w:t>.</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В случай, че проектните предложения имат равен брой точки и по критерий № 2.1, същите ще бъдат класирани съобразно получения брой точки по критерий:</w:t>
            </w:r>
          </w:p>
          <w:p w:rsidR="00385298" w:rsidRPr="00385298" w:rsidRDefault="00385298" w:rsidP="002D7908">
            <w:pPr>
              <w:contextualSpacing/>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3. № 3.1 „Проектното предложение попада изцяло в един или повече от изброените раздели в приложение № ….към условията за кандидатстване“. </w:t>
            </w:r>
          </w:p>
          <w:p w:rsidR="00385298" w:rsidRPr="00385298" w:rsidRDefault="00385298" w:rsidP="002D7908">
            <w:pPr>
              <w:contextualSpacing/>
              <w:jc w:val="both"/>
              <w:rPr>
                <w:rFonts w:ascii="Times New Roman" w:eastAsia="Times New Roman" w:hAnsi="Times New Roman" w:cs="Times New Roman"/>
                <w:sz w:val="24"/>
                <w:szCs w:val="24"/>
                <w:shd w:val="clear" w:color="auto" w:fill="FEFEFE"/>
                <w:lang w:val="bg-BG"/>
              </w:rPr>
            </w:pPr>
          </w:p>
        </w:tc>
      </w:tr>
    </w:tbl>
    <w:p w:rsidR="00385298" w:rsidRPr="00385298" w:rsidRDefault="00385298" w:rsidP="00385298">
      <w:pPr>
        <w:spacing w:before="120" w:after="120" w:line="240" w:lineRule="auto"/>
        <w:jc w:val="both"/>
        <w:rPr>
          <w:rFonts w:ascii="Times New Roman" w:eastAsia="Times New Roman" w:hAnsi="Times New Roman" w:cs="Times New Roman"/>
          <w:sz w:val="24"/>
          <w:szCs w:val="24"/>
          <w:lang w:val="bg-BG"/>
        </w:rPr>
      </w:pPr>
    </w:p>
    <w:p w:rsidR="00385298" w:rsidRPr="00385298" w:rsidRDefault="00385298" w:rsidP="00385298">
      <w:pPr>
        <w:rPr>
          <w:rFonts w:ascii="Times New Roman" w:hAnsi="Times New Roman" w:cs="Times New Roman"/>
          <w:sz w:val="24"/>
          <w:szCs w:val="24"/>
          <w:lang w:val="bg-BG"/>
        </w:rPr>
      </w:pPr>
    </w:p>
    <w:p w:rsidR="00385298" w:rsidRPr="00385298" w:rsidRDefault="00385298" w:rsidP="00385298">
      <w:pPr>
        <w:spacing w:after="120"/>
        <w:jc w:val="center"/>
        <w:rPr>
          <w:rFonts w:ascii="Times New Roman" w:eastAsia="Times New Roman" w:hAnsi="Times New Roman" w:cs="Times New Roman"/>
          <w:b/>
          <w:bCs/>
          <w:sz w:val="24"/>
          <w:szCs w:val="24"/>
          <w:lang w:val="bg-BG"/>
        </w:rPr>
      </w:pPr>
      <w:r w:rsidRPr="00385298">
        <w:rPr>
          <w:rFonts w:ascii="Times New Roman" w:eastAsia="Times New Roman" w:hAnsi="Times New Roman" w:cs="Times New Roman"/>
          <w:b/>
          <w:bCs/>
          <w:sz w:val="24"/>
          <w:szCs w:val="24"/>
          <w:lang w:val="bg-BG"/>
        </w:rPr>
        <w:t>Актуализирано приложение № …. към условията за кандидатстване</w:t>
      </w:r>
    </w:p>
    <w:p w:rsidR="00385298" w:rsidRPr="00385298" w:rsidRDefault="00385298" w:rsidP="00385298">
      <w:pPr>
        <w:spacing w:after="120"/>
        <w:jc w:val="center"/>
        <w:rPr>
          <w:rFonts w:ascii="Times New Roman" w:eastAsia="Times New Roman" w:hAnsi="Times New Roman" w:cs="Times New Roman"/>
          <w:b/>
          <w:bCs/>
          <w:sz w:val="24"/>
          <w:szCs w:val="24"/>
          <w:lang w:val="bg-BG"/>
        </w:rPr>
      </w:pPr>
    </w:p>
    <w:p w:rsidR="00385298" w:rsidRPr="00385298" w:rsidRDefault="00385298" w:rsidP="00385298">
      <w:pPr>
        <w:shd w:val="clear" w:color="auto" w:fill="76923C"/>
        <w:spacing w:after="120"/>
        <w:ind w:left="360"/>
        <w:contextualSpacing/>
        <w:jc w:val="both"/>
        <w:rPr>
          <w:rFonts w:ascii="Times New Roman" w:eastAsia="Times New Roman" w:hAnsi="Times New Roman" w:cs="Times New Roman"/>
          <w:b/>
          <w:sz w:val="24"/>
          <w:szCs w:val="24"/>
          <w:lang w:val="bg-BG"/>
        </w:rPr>
      </w:pPr>
      <w:r w:rsidRPr="00385298">
        <w:rPr>
          <w:rFonts w:ascii="Times New Roman" w:eastAsia="Times New Roman" w:hAnsi="Times New Roman" w:cs="Times New Roman"/>
          <w:b/>
          <w:sz w:val="24"/>
          <w:szCs w:val="24"/>
          <w:lang w:val="bg-BG"/>
        </w:rPr>
        <w:t>Раздел 1: Проектни предложения в секторите, посочени в Раздел Национални и регионални приоритетни сектори от Националната стратегия за малките и средните предприятия (НСМСП) 2021-2027 г.</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С13 </w:t>
      </w:r>
      <w:r w:rsidRPr="00385298">
        <w:rPr>
          <w:rFonts w:ascii="Times New Roman" w:hAnsi="Times New Roman" w:cs="Times New Roman"/>
          <w:i/>
          <w:sz w:val="24"/>
          <w:szCs w:val="24"/>
          <w:shd w:val="clear" w:color="auto" w:fill="FEFEFE"/>
          <w:lang w:val="bg-BG"/>
        </w:rPr>
        <w:t>„Производство на текстил и изделия от текстил, без облекло“;</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С18 </w:t>
      </w:r>
      <w:r w:rsidRPr="00385298">
        <w:rPr>
          <w:rFonts w:ascii="Times New Roman" w:hAnsi="Times New Roman" w:cs="Times New Roman"/>
          <w:i/>
          <w:sz w:val="24"/>
          <w:szCs w:val="24"/>
          <w:shd w:val="clear" w:color="auto" w:fill="FEFEFE"/>
          <w:lang w:val="bg-BG"/>
        </w:rPr>
        <w:t>„Печатна дейност и възпроизвеждане на записани носители“;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С20 </w:t>
      </w:r>
      <w:r w:rsidRPr="00385298">
        <w:rPr>
          <w:rFonts w:ascii="Times New Roman" w:hAnsi="Times New Roman" w:cs="Times New Roman"/>
          <w:i/>
          <w:sz w:val="24"/>
          <w:szCs w:val="24"/>
          <w:shd w:val="clear" w:color="auto" w:fill="FEFEFE"/>
          <w:lang w:val="bg-BG"/>
        </w:rPr>
        <w:t>„Производство на химични продукти“;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С25 </w:t>
      </w:r>
      <w:r w:rsidRPr="00385298">
        <w:rPr>
          <w:rFonts w:ascii="Times New Roman" w:hAnsi="Times New Roman" w:cs="Times New Roman"/>
          <w:i/>
          <w:sz w:val="24"/>
          <w:szCs w:val="24"/>
          <w:shd w:val="clear" w:color="auto" w:fill="FEFEFE"/>
          <w:lang w:val="bg-BG"/>
        </w:rPr>
        <w:t>„Производство на метални изделия, без машини и оборудване“;</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С26 </w:t>
      </w:r>
      <w:r w:rsidRPr="00385298">
        <w:rPr>
          <w:rFonts w:ascii="Times New Roman" w:hAnsi="Times New Roman" w:cs="Times New Roman"/>
          <w:i/>
          <w:sz w:val="24"/>
          <w:szCs w:val="24"/>
          <w:shd w:val="clear" w:color="auto" w:fill="FEFEFE"/>
          <w:lang w:val="bg-BG"/>
        </w:rPr>
        <w:t>„Производство на компютърна и комуникационна техника, електронни и оптични продукти“;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i/>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С27 </w:t>
      </w:r>
      <w:r w:rsidRPr="00385298">
        <w:rPr>
          <w:rFonts w:ascii="Times New Roman" w:hAnsi="Times New Roman" w:cs="Times New Roman"/>
          <w:i/>
          <w:sz w:val="24"/>
          <w:szCs w:val="24"/>
          <w:shd w:val="clear" w:color="auto" w:fill="FEFEFE"/>
          <w:lang w:val="bg-BG"/>
        </w:rPr>
        <w:t>„Производство на електрически съоръжения“;</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i/>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С28 </w:t>
      </w:r>
      <w:r w:rsidRPr="00385298">
        <w:rPr>
          <w:rFonts w:ascii="Times New Roman" w:hAnsi="Times New Roman" w:cs="Times New Roman"/>
          <w:i/>
          <w:sz w:val="24"/>
          <w:szCs w:val="24"/>
          <w:shd w:val="clear" w:color="auto" w:fill="FEFEFE"/>
          <w:lang w:val="bg-BG"/>
        </w:rPr>
        <w:t>„Производство на машини и оборудване, с общо и специално предназначение“;</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lastRenderedPageBreak/>
        <w:t xml:space="preserve">С29 </w:t>
      </w:r>
      <w:r w:rsidRPr="00385298">
        <w:rPr>
          <w:rFonts w:ascii="Times New Roman" w:hAnsi="Times New Roman" w:cs="Times New Roman"/>
          <w:i/>
          <w:sz w:val="24"/>
          <w:szCs w:val="24"/>
          <w:shd w:val="clear" w:color="auto" w:fill="FEFEFE"/>
          <w:lang w:val="bg-BG"/>
        </w:rPr>
        <w:t>„Производство на автомобили, ремаркета и полуремаркета“</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С30 </w:t>
      </w:r>
      <w:r w:rsidRPr="00385298">
        <w:rPr>
          <w:rFonts w:ascii="Times New Roman" w:hAnsi="Times New Roman" w:cs="Times New Roman"/>
          <w:i/>
          <w:sz w:val="24"/>
          <w:szCs w:val="24"/>
          <w:shd w:val="clear" w:color="auto" w:fill="FEFEFE"/>
          <w:lang w:val="bg-BG"/>
        </w:rPr>
        <w:t>„Производство на превозни средства, без автомобили“;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J58 „Издателска дейност“;</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J59 „Производство на филми, телевизионни предавания, звукозаписване и издаване на музика“;</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J62 „Дейности в областта на информационните технологии“;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J63 „Информационни услуги“.</w:t>
      </w:r>
    </w:p>
    <w:p w:rsidR="00385298" w:rsidRPr="00385298" w:rsidRDefault="00385298" w:rsidP="00385298">
      <w:pPr>
        <w:pStyle w:val="ListParagraph"/>
        <w:widowControl w:val="0"/>
        <w:autoSpaceDE w:val="0"/>
        <w:autoSpaceDN w:val="0"/>
        <w:adjustRightInd w:val="0"/>
        <w:spacing w:before="100" w:beforeAutospacing="1" w:after="100" w:afterAutospacing="1"/>
        <w:jc w:val="both"/>
        <w:rPr>
          <w:rFonts w:ascii="Times New Roman" w:hAnsi="Times New Roman" w:cs="Times New Roman"/>
          <w:sz w:val="24"/>
          <w:szCs w:val="24"/>
          <w:shd w:val="clear" w:color="auto" w:fill="FEFEFE"/>
          <w:lang w:val="bg-BG"/>
        </w:rPr>
      </w:pPr>
    </w:p>
    <w:p w:rsidR="00385298" w:rsidRPr="00385298" w:rsidRDefault="00385298" w:rsidP="00385298">
      <w:pPr>
        <w:shd w:val="clear" w:color="auto" w:fill="76923C"/>
        <w:spacing w:after="120"/>
        <w:ind w:left="360"/>
        <w:jc w:val="both"/>
        <w:rPr>
          <w:rFonts w:ascii="Times New Roman" w:hAnsi="Times New Roman" w:cs="Times New Roman"/>
          <w:sz w:val="24"/>
          <w:szCs w:val="24"/>
          <w:lang w:val="bg-BG"/>
        </w:rPr>
      </w:pPr>
      <w:r w:rsidRPr="00385298">
        <w:rPr>
          <w:rFonts w:ascii="Times New Roman" w:eastAsia="Times New Roman" w:hAnsi="Times New Roman" w:cs="Times New Roman"/>
          <w:b/>
          <w:sz w:val="24"/>
          <w:szCs w:val="24"/>
          <w:lang w:val="bg-BG"/>
        </w:rPr>
        <w:t>Раздел 2: Проектни предложения за развитие на услуги и други неземеделски дейности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Q 86.21 „Дейност на общопрактикуващи лекари“;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Q 86.22 „Дейност на лекари специалисти“;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Q 86.23 „Дейност на лекари по дентална медицина“;</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Q 87.30 „Социални грижи с настаняване на възрастни лица и хора с физически увреждания“;</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Q 88.91 „Дневни грижи за малки деца“; </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G 47.73 „Търговия на дребно с лекарства и други фармацевтични стоки“;</w:t>
      </w:r>
      <w:r w:rsidRPr="00385298">
        <w:rPr>
          <w:rFonts w:ascii="Times New Roman" w:hAnsi="Times New Roman" w:cs="Times New Roman"/>
          <w:sz w:val="24"/>
          <w:szCs w:val="24"/>
          <w:shd w:val="clear" w:color="auto" w:fill="FEFEFE"/>
          <w:lang w:val="bg-BG"/>
        </w:rPr>
        <w:tab/>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G 45.20 „Техническо обслужване и ремонт на автомобили“;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С 33 „Ремонт и инсталиране на машини и оборудване“;</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N 79.1 „Туристическа агентска и операторска дейност“, </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N 79.9 „Други дейности, свързани с пътувания и резервации“;</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N 80 „Дейности по охрана и разследване“;</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N 82.3 „Организиране на конгреси и търговски изложения“;</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R 90.04 „Експлоатация на зали за представления“;</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R 93 „Спортни и други дейности, свързани с развлечения и отдих“;</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S 96.04 „Поддържане на добро физическо състояние“;</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I 56.10 „Дейност на ресторанти и заведения за бързо обслужване“;</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I 56.20 „Приготвяне и доставяне на храна“, </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 xml:space="preserve">I 56.30 „Дейност на питейни заведения“; </w:t>
      </w:r>
    </w:p>
    <w:p w:rsidR="00385298" w:rsidRPr="00385298" w:rsidRDefault="00385298" w:rsidP="00385298">
      <w:pPr>
        <w:pStyle w:val="ListParagraph"/>
        <w:widowControl w:val="0"/>
        <w:numPr>
          <w:ilvl w:val="0"/>
          <w:numId w:val="11"/>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F 43 „Специализирани строителни дейности“.</w:t>
      </w:r>
    </w:p>
    <w:p w:rsidR="00385298" w:rsidRPr="00385298" w:rsidRDefault="00385298" w:rsidP="00385298">
      <w:pPr>
        <w:pStyle w:val="ListParagraph"/>
        <w:widowControl w:val="0"/>
        <w:autoSpaceDE w:val="0"/>
        <w:autoSpaceDN w:val="0"/>
        <w:adjustRightInd w:val="0"/>
        <w:spacing w:before="100" w:beforeAutospacing="1" w:after="100" w:afterAutospacing="1"/>
        <w:jc w:val="both"/>
        <w:rPr>
          <w:rFonts w:ascii="Times New Roman" w:hAnsi="Times New Roman" w:cs="Times New Roman"/>
          <w:sz w:val="24"/>
          <w:szCs w:val="24"/>
          <w:shd w:val="clear" w:color="auto" w:fill="FEFEFE"/>
          <w:lang w:val="bg-BG"/>
        </w:rPr>
      </w:pPr>
    </w:p>
    <w:p w:rsidR="00385298" w:rsidRPr="00385298" w:rsidRDefault="00385298" w:rsidP="00385298">
      <w:pPr>
        <w:shd w:val="clear" w:color="auto" w:fill="76923C"/>
        <w:spacing w:after="120"/>
        <w:ind w:left="360"/>
        <w:jc w:val="both"/>
        <w:rPr>
          <w:rFonts w:ascii="Times New Roman" w:hAnsi="Times New Roman" w:cs="Times New Roman"/>
          <w:sz w:val="24"/>
          <w:szCs w:val="24"/>
          <w:lang w:val="bg-BG"/>
        </w:rPr>
      </w:pPr>
      <w:r w:rsidRPr="00385298">
        <w:rPr>
          <w:rFonts w:ascii="Times New Roman" w:eastAsia="Times New Roman" w:hAnsi="Times New Roman" w:cs="Times New Roman"/>
          <w:b/>
          <w:sz w:val="24"/>
          <w:szCs w:val="24"/>
          <w:lang w:val="bg-BG"/>
        </w:rPr>
        <w:t>Раздел 3: Проектни предложения, насочени изцяло към народни художествени занаяти</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lastRenderedPageBreak/>
        <w:t>Художествена обработка на кожа;</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изделия от кожа;</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накити;</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изделия от ковано желязо;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Художествено леене;</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Звънчарство;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Ножарство;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и ремонт на старинно оръжие;</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Везбарство;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Художествено плетиво;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национални кукли;</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художествена керамика;</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Грънчарство;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Художествена обработка на дърво и дърворезба;</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художествени тъкани;</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Гайтанджийство;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национални костюми;</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и ремонт на български народни музикални инструменти;</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Художествена обработка на камък;</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Бакърджийство (медникарство);</w:t>
      </w:r>
    </w:p>
    <w:p w:rsidR="00385298" w:rsidRP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Изработване на дървени съдове и предмети за бита, копаничарство;</w:t>
      </w:r>
    </w:p>
    <w:p w:rsidR="00385298" w:rsidRDefault="00385298" w:rsidP="00385298">
      <w:pPr>
        <w:pStyle w:val="ListParagraph"/>
        <w:widowControl w:val="0"/>
        <w:numPr>
          <w:ilvl w:val="0"/>
          <w:numId w:val="12"/>
        </w:numPr>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sidRPr="00385298">
        <w:rPr>
          <w:rFonts w:ascii="Times New Roman" w:hAnsi="Times New Roman" w:cs="Times New Roman"/>
          <w:sz w:val="24"/>
          <w:szCs w:val="24"/>
          <w:shd w:val="clear" w:color="auto" w:fill="FEFEFE"/>
          <w:lang w:val="bg-BG"/>
        </w:rPr>
        <w:t>Ръчно килимарство.</w:t>
      </w:r>
    </w:p>
    <w:p w:rsidR="00AC429A" w:rsidRDefault="00AC429A" w:rsidP="00AC429A">
      <w:pPr>
        <w:pStyle w:val="ListParagraph"/>
        <w:widowControl w:val="0"/>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p>
    <w:p w:rsidR="00AC429A" w:rsidRPr="00385298" w:rsidRDefault="00666DB6" w:rsidP="00AC429A">
      <w:pPr>
        <w:pStyle w:val="ListParagraph"/>
        <w:widowControl w:val="0"/>
        <w:autoSpaceDE w:val="0"/>
        <w:autoSpaceDN w:val="0"/>
        <w:adjustRightInd w:val="0"/>
        <w:spacing w:before="100" w:beforeAutospacing="1" w:after="100" w:afterAutospacing="1" w:line="259" w:lineRule="auto"/>
        <w:jc w:val="both"/>
        <w:rPr>
          <w:rFonts w:ascii="Times New Roman" w:hAnsi="Times New Roman" w:cs="Times New Roman"/>
          <w:sz w:val="24"/>
          <w:szCs w:val="24"/>
          <w:shd w:val="clear" w:color="auto" w:fill="FEFEFE"/>
          <w:lang w:val="bg-BG"/>
        </w:rPr>
      </w:pPr>
      <w:r>
        <w:rPr>
          <w:rFonts w:ascii="Times New Roman" w:hAnsi="Times New Roman" w:cs="Times New Roman"/>
          <w:sz w:val="24"/>
          <w:szCs w:val="24"/>
          <w:shd w:val="clear" w:color="auto" w:fill="FEFEFE"/>
          <w:lang w:val="bg-BG"/>
        </w:rPr>
        <w:pict>
          <v:shape id="_x0000_i1026" type="#_x0000_t75" alt="Microsoft Office Signature Line..." style="width:192.15pt;height:95.3pt">
            <v:imagedata r:id="rId12" o:title=""/>
            <o:lock v:ext="edit" ungrouping="t" rotation="t" cropping="t" verticies="t" text="t" grouping="t"/>
            <o:signatureline v:ext="edit" id="{E8F06403-C633-449C-8EC2-92CCB11FDBF6}" provid="{00000000-0000-0000-0000-000000000000}" o:suggestedsigner="Елена Иванова" o:suggestedsigner2="Директор на дирекция РСР" issignatureline="t"/>
          </v:shape>
        </w:pict>
      </w:r>
    </w:p>
    <w:sectPr w:rsidR="00AC429A" w:rsidRPr="00385298" w:rsidSect="002D7908">
      <w:pgSz w:w="16840" w:h="11907" w:orient="landscape" w:code="9"/>
      <w:pgMar w:top="993" w:right="1134" w:bottom="567" w:left="1560" w:header="993"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2B" w:rsidRDefault="00F2392B" w:rsidP="009123CE">
      <w:pPr>
        <w:spacing w:after="0" w:line="240" w:lineRule="auto"/>
      </w:pPr>
      <w:r>
        <w:separator/>
      </w:r>
    </w:p>
  </w:endnote>
  <w:endnote w:type="continuationSeparator" w:id="0">
    <w:p w:rsidR="00F2392B" w:rsidRDefault="00F2392B" w:rsidP="0091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2B" w:rsidRDefault="00F2392B" w:rsidP="009123CE">
      <w:pPr>
        <w:spacing w:after="0" w:line="240" w:lineRule="auto"/>
      </w:pPr>
      <w:r>
        <w:separator/>
      </w:r>
    </w:p>
  </w:footnote>
  <w:footnote w:type="continuationSeparator" w:id="0">
    <w:p w:rsidR="00F2392B" w:rsidRDefault="00F2392B" w:rsidP="0091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D48"/>
    <w:multiLevelType w:val="hybridMultilevel"/>
    <w:tmpl w:val="D832B33A"/>
    <w:lvl w:ilvl="0" w:tplc="E0CEF4E6">
      <w:start w:val="1"/>
      <w:numFmt w:val="decimal"/>
      <w:lvlText w:val="%1."/>
      <w:lvlJc w:val="left"/>
      <w:pPr>
        <w:ind w:left="712" w:hanging="360"/>
      </w:pPr>
      <w:rPr>
        <w:rFonts w:ascii="Calibri" w:hAnsi="Calibri" w:hint="default"/>
        <w:sz w:val="22"/>
      </w:rPr>
    </w:lvl>
    <w:lvl w:ilvl="1" w:tplc="04020019" w:tentative="1">
      <w:start w:val="1"/>
      <w:numFmt w:val="lowerLetter"/>
      <w:lvlText w:val="%2."/>
      <w:lvlJc w:val="left"/>
      <w:pPr>
        <w:ind w:left="1432" w:hanging="360"/>
      </w:pPr>
    </w:lvl>
    <w:lvl w:ilvl="2" w:tplc="0402001B" w:tentative="1">
      <w:start w:val="1"/>
      <w:numFmt w:val="lowerRoman"/>
      <w:lvlText w:val="%3."/>
      <w:lvlJc w:val="right"/>
      <w:pPr>
        <w:ind w:left="2152" w:hanging="180"/>
      </w:pPr>
    </w:lvl>
    <w:lvl w:ilvl="3" w:tplc="0402000F" w:tentative="1">
      <w:start w:val="1"/>
      <w:numFmt w:val="decimal"/>
      <w:lvlText w:val="%4."/>
      <w:lvlJc w:val="left"/>
      <w:pPr>
        <w:ind w:left="2872" w:hanging="360"/>
      </w:pPr>
    </w:lvl>
    <w:lvl w:ilvl="4" w:tplc="04020019" w:tentative="1">
      <w:start w:val="1"/>
      <w:numFmt w:val="lowerLetter"/>
      <w:lvlText w:val="%5."/>
      <w:lvlJc w:val="left"/>
      <w:pPr>
        <w:ind w:left="3592" w:hanging="360"/>
      </w:pPr>
    </w:lvl>
    <w:lvl w:ilvl="5" w:tplc="0402001B" w:tentative="1">
      <w:start w:val="1"/>
      <w:numFmt w:val="lowerRoman"/>
      <w:lvlText w:val="%6."/>
      <w:lvlJc w:val="right"/>
      <w:pPr>
        <w:ind w:left="4312" w:hanging="180"/>
      </w:pPr>
    </w:lvl>
    <w:lvl w:ilvl="6" w:tplc="0402000F" w:tentative="1">
      <w:start w:val="1"/>
      <w:numFmt w:val="decimal"/>
      <w:lvlText w:val="%7."/>
      <w:lvlJc w:val="left"/>
      <w:pPr>
        <w:ind w:left="5032" w:hanging="360"/>
      </w:pPr>
    </w:lvl>
    <w:lvl w:ilvl="7" w:tplc="04020019" w:tentative="1">
      <w:start w:val="1"/>
      <w:numFmt w:val="lowerLetter"/>
      <w:lvlText w:val="%8."/>
      <w:lvlJc w:val="left"/>
      <w:pPr>
        <w:ind w:left="5752" w:hanging="360"/>
      </w:pPr>
    </w:lvl>
    <w:lvl w:ilvl="8" w:tplc="0402001B" w:tentative="1">
      <w:start w:val="1"/>
      <w:numFmt w:val="lowerRoman"/>
      <w:lvlText w:val="%9."/>
      <w:lvlJc w:val="right"/>
      <w:pPr>
        <w:ind w:left="6472" w:hanging="180"/>
      </w:pPr>
    </w:lvl>
  </w:abstractNum>
  <w:abstractNum w:abstractNumId="1" w15:restartNumberingAfterBreak="0">
    <w:nsid w:val="06A4620A"/>
    <w:multiLevelType w:val="hybridMultilevel"/>
    <w:tmpl w:val="FDA6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5BB9"/>
    <w:multiLevelType w:val="hybridMultilevel"/>
    <w:tmpl w:val="7B88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2F05"/>
    <w:multiLevelType w:val="hybridMultilevel"/>
    <w:tmpl w:val="54026364"/>
    <w:lvl w:ilvl="0" w:tplc="2BF4AAF0">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15:restartNumberingAfterBreak="0">
    <w:nsid w:val="16E75CD9"/>
    <w:multiLevelType w:val="hybridMultilevel"/>
    <w:tmpl w:val="997251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787119"/>
    <w:multiLevelType w:val="hybridMultilevel"/>
    <w:tmpl w:val="5CC4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E0089C"/>
    <w:multiLevelType w:val="hybridMultilevel"/>
    <w:tmpl w:val="FD64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3145B"/>
    <w:multiLevelType w:val="hybridMultilevel"/>
    <w:tmpl w:val="AE963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DC2DDC"/>
    <w:multiLevelType w:val="hybridMultilevel"/>
    <w:tmpl w:val="361E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79221D"/>
    <w:multiLevelType w:val="hybridMultilevel"/>
    <w:tmpl w:val="A5A096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6213E62"/>
    <w:multiLevelType w:val="hybridMultilevel"/>
    <w:tmpl w:val="F406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75DDF"/>
    <w:multiLevelType w:val="hybridMultilevel"/>
    <w:tmpl w:val="EA5C6F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 w:numId="8">
    <w:abstractNumId w:val="7"/>
  </w:num>
  <w:num w:numId="9">
    <w:abstractNumId w:val="8"/>
  </w:num>
  <w:num w:numId="10">
    <w:abstractNumId w:val="9"/>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38"/>
    <w:rsid w:val="00014856"/>
    <w:rsid w:val="00037DA5"/>
    <w:rsid w:val="00045827"/>
    <w:rsid w:val="00082E49"/>
    <w:rsid w:val="00086964"/>
    <w:rsid w:val="000B1A10"/>
    <w:rsid w:val="000C2CC0"/>
    <w:rsid w:val="000D58B5"/>
    <w:rsid w:val="000E2FFF"/>
    <w:rsid w:val="00145CF9"/>
    <w:rsid w:val="00147FFD"/>
    <w:rsid w:val="001B0EBA"/>
    <w:rsid w:val="001B78A1"/>
    <w:rsid w:val="001D2B84"/>
    <w:rsid w:val="002000A6"/>
    <w:rsid w:val="00201A31"/>
    <w:rsid w:val="00257BCD"/>
    <w:rsid w:val="002A2A8C"/>
    <w:rsid w:val="002D5233"/>
    <w:rsid w:val="002D5A88"/>
    <w:rsid w:val="002D7908"/>
    <w:rsid w:val="002E4456"/>
    <w:rsid w:val="00346E25"/>
    <w:rsid w:val="00385298"/>
    <w:rsid w:val="00392AA2"/>
    <w:rsid w:val="003B163C"/>
    <w:rsid w:val="003C0A91"/>
    <w:rsid w:val="003D3883"/>
    <w:rsid w:val="00412392"/>
    <w:rsid w:val="00417CDB"/>
    <w:rsid w:val="00425E84"/>
    <w:rsid w:val="004B7675"/>
    <w:rsid w:val="004D7309"/>
    <w:rsid w:val="004F1538"/>
    <w:rsid w:val="004F454E"/>
    <w:rsid w:val="0051735F"/>
    <w:rsid w:val="0057317A"/>
    <w:rsid w:val="005B3EA2"/>
    <w:rsid w:val="00633B37"/>
    <w:rsid w:val="00634605"/>
    <w:rsid w:val="0065343A"/>
    <w:rsid w:val="00666DB6"/>
    <w:rsid w:val="00692DD7"/>
    <w:rsid w:val="006C264F"/>
    <w:rsid w:val="006C5D38"/>
    <w:rsid w:val="006E5DF3"/>
    <w:rsid w:val="00715566"/>
    <w:rsid w:val="00722DA5"/>
    <w:rsid w:val="00726B29"/>
    <w:rsid w:val="00746F1B"/>
    <w:rsid w:val="00751FBC"/>
    <w:rsid w:val="00775AE9"/>
    <w:rsid w:val="00776FD5"/>
    <w:rsid w:val="007A5326"/>
    <w:rsid w:val="007A6CA1"/>
    <w:rsid w:val="007A6D0D"/>
    <w:rsid w:val="007D35EB"/>
    <w:rsid w:val="007D6383"/>
    <w:rsid w:val="007E03A6"/>
    <w:rsid w:val="007E2A05"/>
    <w:rsid w:val="007F552E"/>
    <w:rsid w:val="008245D0"/>
    <w:rsid w:val="0084034F"/>
    <w:rsid w:val="00843055"/>
    <w:rsid w:val="0084550F"/>
    <w:rsid w:val="008639F4"/>
    <w:rsid w:val="00875FE9"/>
    <w:rsid w:val="00894F38"/>
    <w:rsid w:val="008A5F05"/>
    <w:rsid w:val="008D65AB"/>
    <w:rsid w:val="008E5F2B"/>
    <w:rsid w:val="009123CE"/>
    <w:rsid w:val="0094032F"/>
    <w:rsid w:val="00952A1A"/>
    <w:rsid w:val="0098133D"/>
    <w:rsid w:val="00992A5C"/>
    <w:rsid w:val="009C2C4C"/>
    <w:rsid w:val="009D37C4"/>
    <w:rsid w:val="009E5241"/>
    <w:rsid w:val="00A148DA"/>
    <w:rsid w:val="00A269C6"/>
    <w:rsid w:val="00A31C89"/>
    <w:rsid w:val="00A36AB4"/>
    <w:rsid w:val="00A62275"/>
    <w:rsid w:val="00A8074F"/>
    <w:rsid w:val="00AB33F5"/>
    <w:rsid w:val="00AB6119"/>
    <w:rsid w:val="00AC429A"/>
    <w:rsid w:val="00AF5E9B"/>
    <w:rsid w:val="00B1783D"/>
    <w:rsid w:val="00B431BC"/>
    <w:rsid w:val="00B517B9"/>
    <w:rsid w:val="00BA2DA1"/>
    <w:rsid w:val="00BA5430"/>
    <w:rsid w:val="00BC55D6"/>
    <w:rsid w:val="00BD6192"/>
    <w:rsid w:val="00C05F51"/>
    <w:rsid w:val="00C07906"/>
    <w:rsid w:val="00C1366A"/>
    <w:rsid w:val="00C152D8"/>
    <w:rsid w:val="00C278F8"/>
    <w:rsid w:val="00C55D46"/>
    <w:rsid w:val="00C75956"/>
    <w:rsid w:val="00C94677"/>
    <w:rsid w:val="00CD1578"/>
    <w:rsid w:val="00CF3287"/>
    <w:rsid w:val="00CF4FF4"/>
    <w:rsid w:val="00CF71C2"/>
    <w:rsid w:val="00D01CDD"/>
    <w:rsid w:val="00D173ED"/>
    <w:rsid w:val="00D30D2C"/>
    <w:rsid w:val="00D54017"/>
    <w:rsid w:val="00D60638"/>
    <w:rsid w:val="00D61A5A"/>
    <w:rsid w:val="00D75701"/>
    <w:rsid w:val="00DD3EAD"/>
    <w:rsid w:val="00DD44C7"/>
    <w:rsid w:val="00DE5C39"/>
    <w:rsid w:val="00E14520"/>
    <w:rsid w:val="00E57158"/>
    <w:rsid w:val="00E77867"/>
    <w:rsid w:val="00ED7A9A"/>
    <w:rsid w:val="00EE00E9"/>
    <w:rsid w:val="00EE01CC"/>
    <w:rsid w:val="00EE2E9B"/>
    <w:rsid w:val="00EF0AA9"/>
    <w:rsid w:val="00EF1ED4"/>
    <w:rsid w:val="00F13C6C"/>
    <w:rsid w:val="00F166B2"/>
    <w:rsid w:val="00F2392B"/>
    <w:rsid w:val="00F2624A"/>
    <w:rsid w:val="00F43B91"/>
    <w:rsid w:val="00F72565"/>
    <w:rsid w:val="00F7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9E32"/>
  <w15:docId w15:val="{62325BFE-C89B-4334-A466-2072461C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38"/>
    <w:rPr>
      <w:rFonts w:ascii="Tahoma" w:hAnsi="Tahoma" w:cs="Tahoma"/>
      <w:sz w:val="16"/>
      <w:szCs w:val="16"/>
    </w:rPr>
  </w:style>
  <w:style w:type="paragraph" w:styleId="ListParagraph">
    <w:name w:val="List Paragraph"/>
    <w:basedOn w:val="Normal"/>
    <w:uiPriority w:val="34"/>
    <w:qFormat/>
    <w:rsid w:val="00B1783D"/>
    <w:pPr>
      <w:ind w:left="720"/>
      <w:contextualSpacing/>
    </w:pPr>
  </w:style>
  <w:style w:type="paragraph" w:styleId="BodyText2">
    <w:name w:val="Body Text 2"/>
    <w:basedOn w:val="Normal"/>
    <w:link w:val="BodyText2Char"/>
    <w:uiPriority w:val="99"/>
    <w:unhideWhenUsed/>
    <w:rsid w:val="0084550F"/>
    <w:pPr>
      <w:spacing w:after="0"/>
      <w:jc w:val="both"/>
    </w:pPr>
    <w:rPr>
      <w:rFonts w:ascii="Times New Roman" w:eastAsia="Calibri" w:hAnsi="Times New Roman" w:cs="Times New Roman"/>
      <w:sz w:val="24"/>
      <w:szCs w:val="24"/>
      <w:lang w:val="bg-BG"/>
    </w:rPr>
  </w:style>
  <w:style w:type="character" w:customStyle="1" w:styleId="BodyText2Char">
    <w:name w:val="Body Text 2 Char"/>
    <w:basedOn w:val="DefaultParagraphFont"/>
    <w:link w:val="BodyText2"/>
    <w:uiPriority w:val="99"/>
    <w:rsid w:val="0084550F"/>
    <w:rPr>
      <w:rFonts w:ascii="Times New Roman" w:eastAsia="Calibri" w:hAnsi="Times New Roman" w:cs="Times New Roman"/>
      <w:sz w:val="24"/>
      <w:szCs w:val="24"/>
      <w:lang w:val="bg-BG"/>
    </w:rPr>
  </w:style>
  <w:style w:type="table" w:styleId="TableGrid">
    <w:name w:val="Table Grid"/>
    <w:basedOn w:val="TableNormal"/>
    <w:uiPriority w:val="59"/>
    <w:rsid w:val="008455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759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5956"/>
    <w:rPr>
      <w:rFonts w:ascii="Calibri" w:hAnsi="Calibri"/>
      <w:szCs w:val="21"/>
    </w:rPr>
  </w:style>
  <w:style w:type="table" w:customStyle="1" w:styleId="TableGrid1">
    <w:name w:val="Table Grid1"/>
    <w:basedOn w:val="TableNormal"/>
    <w:next w:val="TableGrid"/>
    <w:uiPriority w:val="39"/>
    <w:rsid w:val="007E03A6"/>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264F"/>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3C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23CE"/>
  </w:style>
  <w:style w:type="paragraph" w:styleId="Footer">
    <w:name w:val="footer"/>
    <w:basedOn w:val="Normal"/>
    <w:link w:val="FooterChar"/>
    <w:uiPriority w:val="99"/>
    <w:unhideWhenUsed/>
    <w:rsid w:val="009123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23CE"/>
  </w:style>
  <w:style w:type="character" w:styleId="CommentReference">
    <w:name w:val="annotation reference"/>
    <w:basedOn w:val="DefaultParagraphFont"/>
    <w:uiPriority w:val="99"/>
    <w:semiHidden/>
    <w:unhideWhenUsed/>
    <w:rsid w:val="00DD44C7"/>
    <w:rPr>
      <w:sz w:val="16"/>
      <w:szCs w:val="16"/>
    </w:rPr>
  </w:style>
  <w:style w:type="paragraph" w:styleId="CommentText">
    <w:name w:val="annotation text"/>
    <w:basedOn w:val="Normal"/>
    <w:link w:val="CommentTextChar"/>
    <w:uiPriority w:val="99"/>
    <w:semiHidden/>
    <w:unhideWhenUsed/>
    <w:rsid w:val="00DD44C7"/>
    <w:pPr>
      <w:spacing w:line="240" w:lineRule="auto"/>
    </w:pPr>
    <w:rPr>
      <w:sz w:val="20"/>
      <w:szCs w:val="20"/>
    </w:rPr>
  </w:style>
  <w:style w:type="character" w:customStyle="1" w:styleId="CommentTextChar">
    <w:name w:val="Comment Text Char"/>
    <w:basedOn w:val="DefaultParagraphFont"/>
    <w:link w:val="CommentText"/>
    <w:uiPriority w:val="99"/>
    <w:semiHidden/>
    <w:rsid w:val="00DD44C7"/>
    <w:rPr>
      <w:sz w:val="20"/>
      <w:szCs w:val="20"/>
    </w:rPr>
  </w:style>
  <w:style w:type="paragraph" w:styleId="CommentSubject">
    <w:name w:val="annotation subject"/>
    <w:basedOn w:val="CommentText"/>
    <w:next w:val="CommentText"/>
    <w:link w:val="CommentSubjectChar"/>
    <w:uiPriority w:val="99"/>
    <w:semiHidden/>
    <w:unhideWhenUsed/>
    <w:rsid w:val="00DD44C7"/>
    <w:rPr>
      <w:b/>
      <w:bCs/>
    </w:rPr>
  </w:style>
  <w:style w:type="character" w:customStyle="1" w:styleId="CommentSubjectChar">
    <w:name w:val="Comment Subject Char"/>
    <w:basedOn w:val="CommentTextChar"/>
    <w:link w:val="CommentSubject"/>
    <w:uiPriority w:val="99"/>
    <w:semiHidden/>
    <w:rsid w:val="00DD44C7"/>
    <w:rPr>
      <w:b/>
      <w:bCs/>
      <w:sz w:val="20"/>
      <w:szCs w:val="20"/>
    </w:rPr>
  </w:style>
  <w:style w:type="paragraph" w:styleId="BodyText">
    <w:name w:val="Body Text"/>
    <w:basedOn w:val="Normal"/>
    <w:link w:val="BodyTextChar"/>
    <w:uiPriority w:val="99"/>
    <w:semiHidden/>
    <w:unhideWhenUsed/>
    <w:rsid w:val="00775AE9"/>
    <w:pPr>
      <w:spacing w:after="120"/>
    </w:pPr>
  </w:style>
  <w:style w:type="character" w:customStyle="1" w:styleId="BodyTextChar">
    <w:name w:val="Body Text Char"/>
    <w:basedOn w:val="DefaultParagraphFont"/>
    <w:link w:val="BodyText"/>
    <w:uiPriority w:val="99"/>
    <w:semiHidden/>
    <w:rsid w:val="00775AE9"/>
  </w:style>
  <w:style w:type="table" w:customStyle="1" w:styleId="TableGrid3">
    <w:name w:val="Table Grid3"/>
    <w:basedOn w:val="TableNormal"/>
    <w:next w:val="TableGrid"/>
    <w:uiPriority w:val="59"/>
    <w:rsid w:val="00775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7772">
      <w:bodyDiv w:val="1"/>
      <w:marLeft w:val="0"/>
      <w:marRight w:val="0"/>
      <w:marTop w:val="0"/>
      <w:marBottom w:val="0"/>
      <w:divBdr>
        <w:top w:val="none" w:sz="0" w:space="0" w:color="auto"/>
        <w:left w:val="none" w:sz="0" w:space="0" w:color="auto"/>
        <w:bottom w:val="none" w:sz="0" w:space="0" w:color="auto"/>
        <w:right w:val="none" w:sz="0" w:space="0" w:color="auto"/>
      </w:divBdr>
    </w:div>
    <w:div w:id="214044456">
      <w:bodyDiv w:val="1"/>
      <w:marLeft w:val="0"/>
      <w:marRight w:val="0"/>
      <w:marTop w:val="0"/>
      <w:marBottom w:val="0"/>
      <w:divBdr>
        <w:top w:val="none" w:sz="0" w:space="0" w:color="auto"/>
        <w:left w:val="none" w:sz="0" w:space="0" w:color="auto"/>
        <w:bottom w:val="none" w:sz="0" w:space="0" w:color="auto"/>
        <w:right w:val="none" w:sz="0" w:space="0" w:color="auto"/>
      </w:divBdr>
    </w:div>
    <w:div w:id="629213385">
      <w:bodyDiv w:val="1"/>
      <w:marLeft w:val="0"/>
      <w:marRight w:val="0"/>
      <w:marTop w:val="0"/>
      <w:marBottom w:val="0"/>
      <w:divBdr>
        <w:top w:val="none" w:sz="0" w:space="0" w:color="auto"/>
        <w:left w:val="none" w:sz="0" w:space="0" w:color="auto"/>
        <w:bottom w:val="none" w:sz="0" w:space="0" w:color="auto"/>
        <w:right w:val="none" w:sz="0" w:space="0" w:color="auto"/>
      </w:divBdr>
    </w:div>
    <w:div w:id="937983881">
      <w:bodyDiv w:val="1"/>
      <w:marLeft w:val="0"/>
      <w:marRight w:val="0"/>
      <w:marTop w:val="0"/>
      <w:marBottom w:val="0"/>
      <w:divBdr>
        <w:top w:val="none" w:sz="0" w:space="0" w:color="auto"/>
        <w:left w:val="none" w:sz="0" w:space="0" w:color="auto"/>
        <w:bottom w:val="none" w:sz="0" w:space="0" w:color="auto"/>
        <w:right w:val="none" w:sz="0" w:space="0" w:color="auto"/>
      </w:divBdr>
    </w:div>
    <w:div w:id="1506818900">
      <w:bodyDiv w:val="1"/>
      <w:marLeft w:val="0"/>
      <w:marRight w:val="0"/>
      <w:marTop w:val="0"/>
      <w:marBottom w:val="0"/>
      <w:divBdr>
        <w:top w:val="none" w:sz="0" w:space="0" w:color="auto"/>
        <w:left w:val="none" w:sz="0" w:space="0" w:color="auto"/>
        <w:bottom w:val="none" w:sz="0" w:space="0" w:color="auto"/>
        <w:right w:val="none" w:sz="0" w:space="0" w:color="auto"/>
      </w:divBdr>
    </w:div>
    <w:div w:id="1943761463">
      <w:bodyDiv w:val="1"/>
      <w:marLeft w:val="0"/>
      <w:marRight w:val="0"/>
      <w:marTop w:val="0"/>
      <w:marBottom w:val="0"/>
      <w:divBdr>
        <w:top w:val="none" w:sz="0" w:space="0" w:color="auto"/>
        <w:left w:val="none" w:sz="0" w:space="0" w:color="auto"/>
        <w:bottom w:val="none" w:sz="0" w:space="0" w:color="auto"/>
        <w:right w:val="none" w:sz="0" w:space="0" w:color="auto"/>
      </w:divBdr>
    </w:div>
    <w:div w:id="2002850626">
      <w:bodyDiv w:val="1"/>
      <w:marLeft w:val="0"/>
      <w:marRight w:val="0"/>
      <w:marTop w:val="0"/>
      <w:marBottom w:val="0"/>
      <w:divBdr>
        <w:top w:val="none" w:sz="0" w:space="0" w:color="auto"/>
        <w:left w:val="none" w:sz="0" w:space="0" w:color="auto"/>
        <w:bottom w:val="none" w:sz="0" w:space="0" w:color="auto"/>
        <w:right w:val="none" w:sz="0" w:space="0" w:color="auto"/>
      </w:divBdr>
    </w:div>
    <w:div w:id="2005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6QRjzlSESkfGPVaSNi99x0WZSjg=</DigestValue>
    </Reference>
    <Reference URI="#idOfficeObject" Type="http://www.w3.org/2000/09/xmldsig#Object">
      <DigestMethod Algorithm="http://www.w3.org/2000/09/xmldsig#sha1"/>
      <DigestValue>dvdCQE7OHozIOHKYTxvGBFsBPow=</DigestValue>
    </Reference>
    <Reference URI="#idSignedProperties" Type="http://uri.etsi.org/01903#SignedProperties">
      <Transforms>
        <Transform Algorithm="http://www.w3.org/TR/2001/REC-xml-c14n-20010315"/>
      </Transforms>
      <DigestMethod Algorithm="http://www.w3.org/2000/09/xmldsig#sha1"/>
      <DigestValue>xr40l1Cyx2aolsXdDuAg+1moRHE=</DigestValue>
    </Reference>
    <Reference URI="#idValidSigLnImg" Type="http://www.w3.org/2000/09/xmldsig#Object">
      <DigestMethod Algorithm="http://www.w3.org/2000/09/xmldsig#sha1"/>
      <DigestValue>iHtOiR/Fzb4twqNorwUBG+l7wxE=</DigestValue>
    </Reference>
    <Reference URI="#idInvalidSigLnImg" Type="http://www.w3.org/2000/09/xmldsig#Object">
      <DigestMethod Algorithm="http://www.w3.org/2000/09/xmldsig#sha1"/>
      <DigestValue>KfcGtseshoOnVDZG3wEaFyxVVNI=</DigestValue>
    </Reference>
  </SignedInfo>
  <SignatureValue>UD/2jLmV5aIvyg9TMh+9qEXKKGretTBAie3mOEo8HurLJn4wkH46EUWyftX1N7Q/EvL56Fq0BjdO
HZAZLuganHEeXBtio1tOYCjps+RP1P2d9CYLyMI2uO+HP4cI0mnv1fGq6sGBG12KU0bLN8duTsPc
zAMJnk6HWoXB8oPqqU5AhNf8VjR03j+Q19+7ARUePTEuzLjRQrufnVt9aw/lZ44dQoFV3l/ia0bg
dYs0qr9vEn56FLnf1hvAfmquaXfehwA6QWFVPmZU1f9z2OCwOo8MJg1ZmpU9MgWMIuCaW8A92h3d
IwLNDpIcG/HEp4FYGce3O0K+1bv5ZBmrOlZn8A==</SignatureValue>
  <KeyInfo>
    <X509Data>
      <X509Certificate>MIIHPDCCBSSgAwIBAgIITZxFKWa8Xe0wDQYJKoZIhvcNAQELBQAwgYAxJDAiBgNVBAMMG1N0YW1w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</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0zKEohu5NllHJ6O4ZL7GNhX7Hn0=</DigestValue>
      </Reference>
      <Reference URI="/word/theme/theme1.xml?ContentType=application/vnd.openxmlformats-officedocument.theme+xml">
        <DigestMethod Algorithm="http://www.w3.org/2000/09/xmldsig#sha1"/>
        <DigestValue>A7mMCM/bIq8J08Isx4WI1dNx25c=</DigestValue>
      </Reference>
      <Reference URI="/word/media/image1.jpeg?ContentType=image/jpeg">
        <DigestMethod Algorithm="http://www.w3.org/2000/09/xmldsig#sha1"/>
        <DigestValue>6ftpDQE6tpfOSW3HmYWIBTesA+I=</DigestValue>
      </Reference>
      <Reference URI="/word/settings.xml?ContentType=application/vnd.openxmlformats-officedocument.wordprocessingml.settings+xml">
        <DigestMethod Algorithm="http://www.w3.org/2000/09/xmldsig#sha1"/>
        <DigestValue>XFAKoz+vIhlRUjn5RUsab3rCG4I=</DigestValue>
      </Reference>
      <Reference URI="/word/styles.xml?ContentType=application/vnd.openxmlformats-officedocument.wordprocessingml.styles+xml">
        <DigestMethod Algorithm="http://www.w3.org/2000/09/xmldsig#sha1"/>
        <DigestValue>1Ezb61Z2rNyZGFdyrUyPntCPogo=</DigestValue>
      </Reference>
      <Reference URI="/word/numbering.xml?ContentType=application/vnd.openxmlformats-officedocument.wordprocessingml.numbering+xml">
        <DigestMethod Algorithm="http://www.w3.org/2000/09/xmldsig#sha1"/>
        <DigestValue>NJyr+8oCy+e/Rg78qAanxwVQp9Q=</DigestValue>
      </Reference>
      <Reference URI="/word/media/image5.emf?ContentType=image/x-emf">
        <DigestMethod Algorithm="http://www.w3.org/2000/09/xmldsig#sha1"/>
        <DigestValue>pUG+FKhEV1lPZVf6lQmwI0HGM6k=</DigestValue>
      </Reference>
      <Reference URI="/word/media/image2.jpeg?ContentType=image/jpeg">
        <DigestMethod Algorithm="http://www.w3.org/2000/09/xmldsig#sha1"/>
        <DigestValue>iY9qlnMNZtt9YHywKKNdnJWUa0M=</DigestValue>
      </Reference>
      <Reference URI="/word/media/image3.emf?ContentType=image/x-emf">
        <DigestMethod Algorithm="http://www.w3.org/2000/09/xmldsig#sha1"/>
        <DigestValue>SmhPLb7Yhf7hKp3mltloayUwc9s=</DigestValue>
      </Reference>
      <Reference URI="/word/document.xml?ContentType=application/vnd.openxmlformats-officedocument.wordprocessingml.document.main+xml">
        <DigestMethod Algorithm="http://www.w3.org/2000/09/xmldsig#sha1"/>
        <DigestValue>fQ/i2gjfi0fBcT0zESCinHiYQwk=</DigestValue>
      </Reference>
      <Reference URI="/word/webSettings.xml?ContentType=application/vnd.openxmlformats-officedocument.wordprocessingml.webSettings+xml">
        <DigestMethod Algorithm="http://www.w3.org/2000/09/xmldsig#sha1"/>
        <DigestValue>8Vda5hgb+Y0R51PJQjdtHGTXK1U=</DigestValue>
      </Reference>
      <Reference URI="/word/footnotes.xml?ContentType=application/vnd.openxmlformats-officedocument.wordprocessingml.footnotes+xml">
        <DigestMethod Algorithm="http://www.w3.org/2000/09/xmldsig#sha1"/>
        <DigestValue>hn2sth8hnXY9M8Y5iJz2Zx98MYM=</DigestValue>
      </Reference>
      <Reference URI="/word/media/image4.emf?ContentType=image/x-emf">
        <DigestMethod Algorithm="http://www.w3.org/2000/09/xmldsig#sha1"/>
        <DigestValue>hQIPCPatDp4itU8zT6OstEuXzeE=</DigestValue>
      </Reference>
      <Reference URI="/word/endnotes.xml?ContentType=application/vnd.openxmlformats-officedocument.wordprocessingml.endnotes+xml">
        <DigestMethod Algorithm="http://www.w3.org/2000/09/xmldsig#sha1"/>
        <DigestValue>mcW+s91xTQFrfZswVVcNI8IvjC8=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zeN11HCZDfsFPhJiO010Fhw1jRM=</DigestValue>
      </Reference>
    </Manifest>
    <SignatureProperties>
      <SignatureProperty Id="idSignatureTime" Target="#idPackageSignature">
        <mdssi:SignatureTime>
          <mdssi:Format>YYYY-MM-DDThh:mm:ssTZD</mdssi:Format>
          <mdssi:Value>2023-06-26T07:05:24Z</mdssi:Value>
        </mdssi:SignatureTime>
      </SignatureProperty>
    </SignatureProperties>
  </Object>
  <Object Id="idOfficeObject">
    <SignatureProperties>
      <SignatureProperty Id="idOfficeV1Details" Target="#idPackageSignature">
        <SignatureInfoV1 xmlns="http://schemas.microsoft.com/office/2006/digsig">
          <SetupID>{E8F06403-C633-449C-8EC2-92CCB11FDBF6}</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2023-06-26T07:05:24Z</xd:SigningTime>
          <xd:SigningCertificate>
            <xd:Cert>
              <xd:CertDigest>
                <DigestMethod Algorithm="http://www.w3.org/2000/09/xmldsig#sha1"/>
                <DigestValue>4EAYAilnaIz/CqYVLR84tr4u2UU=</DigestValue>
              </xd:CertDigest>
              <xd:IssuerSerial>
                <X509IssuerName>C=BG, L=Sofia, O=Information Services JSC, OID.2.5.4.97=NTRBG-831641791, CN=StampIT Global Qualified CA</X509IssuerName>
                <X509SerialNumber>5592420881406909933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c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ADAxkG+hMZBCgAAAFAAAAANAAAATAAAAAAAAAAAAAAAAAAAAP//////////aAAAABUEOwQ1BD0EMAQgABgEMgQwBD0EPgQyBDAEXpsGAAAABgAAAAYAAAAGAAAABgAAAAMAAAAH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3AAAAAoAAABgAAAAlAAAAGwAAAABAAAAAMDGQb6ExkEKAAAAYAAAABgAAABMAAAAAAAAAAAAAAAAAAAA//////////98AAAAFAQ4BEAENQQ6BEIEPgRABCAAPQQwBCAANAQ4BEAENQQ6BEYEOARPBCAAIAQhBCAECAAAAAYAAAAGAAAABgAAAAYAAAAGAAAABgAAAAYAAAADAAAABgAAAAYAAAADAAAABwAAAAYAAAAGAAAABgAAAAYAAAAGAAAABgAAAAYAAAADAAAABgAAAAcAAAAG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FLkGAAAAAgAAAAYAAAAGAAAABgAAAAYAAAADAAAABgAAAAYAAAAEAAAAAwAAAAYAAAACAAAABgAAAAYAAAAGAAAAAwAAAAcAAAAGAAAABgAAAAYAAAACAAAABgAAAAYAAAAGAAAAAwAAAAQAAAAGAAAABgAAAAYAAAAGAAAABgAAAAYAAAAWAAAADAAAAAAAAAAlAAAADAAAAAIAAAAOAAAAFAAAAAAAAAAQAAAAFAAAAA==</Object>
  <Object Id="idInvalidSigLnImg">AQAAAGwAAAAAAAAAAAAAAP8AAAB/AAAAAAAAAAAAAADYGAAAaQwAACBFTUYAAAEAH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camiZuAAGrlpqAACEAjAuhAIAAAAAgUC63aKrWmq8rlkAWQo0dgytWQD1////AAA0dmAAAAD1////g2VaagAAAACAFoQCvGKOAgC74wODZVpqAAAAAIAVhAKQZIQDAGg0BUitWQAsXlpqaJm4APwBAACErVkARV1aavwBAAAAAAAASl1aaoD3TlD8AQAAaJm4AJBkhAMAAAAAdJm4AFytWQCQ/VkANPBWawAAAABKXVpq+1xaavwBAAAAAAAAAAAAAAcAAAAAAAAA4QSSdwAAAAAHAAAAwK5ZAMCuWQAAAgAA/P///wEAAAAAAAAAAAAAAAAAAACkDwAA+NSt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kACg00dleWWQDMllkADg8KQniWWQCk3l5qkJZZADXsY2qYboRqAQAAAKhP53c4234HyICEA5huhGoBAAAAFCKAaiwigGqAh00HgIdNBwAAAADQsl5qRD+EagEAAAAUIoBqLCKAasF6ut0AgIUDfJhZAFkKNHbMllkA4P///wAANHbIgIQD4P///wAAAAAAAAAAAAAAAJABAAAAAAABAAAAAGEAcgBpAGEAbAAAAAAAAAAAAAAAAAAAAAAAAAAAAAAABgAAAAAAAADhBJJ3AAAAAAYAAAAwmFkAMJhZAAACAAD8////AQAAAAAAAAAAAAAAAAAAAGgCAAD41K13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WQAKDTR2RJZZACyWWQCVEArdRJZZAESWWQChkGVqAAAAABcAAAD0g41qsZBlavwQCvoU9I4C4IeOAgDSCQQAAAAAAAAAAAAAAAAgAAAAvAIAAAAAAMwBAgIiUwB5AHMAdABlAG0AYXq63QAAAADcl1kAWQo0diyWWQDw////AAA0dgAAAADw////AAAAAAAAAAAAAAAAkAEAAAAAAAEAAAAAdABhAGgAbwBtAGEAAAAAAAAAAAAAAAAAAAAAAAAAAAAHAAAAAAAAAOEEkncAAAAABwAAAJCXWQCQl1kAAAIAAPz///8BAAAAAAAAAAAAAAAAAAAAGBYAAPjUrXdkdgAIAAAAACUAAAAMAAAABAAAABgAAAAMAAAAAAAAAhIAAAAMAAAAAQAAAB4AAAAYAAAAKQAAADUAAAAwAAAASAAAACUAAAAMAAAABAAAAFQAAABUAAAAKgAAADUAAAAuAAAARwAAAAEAAAAAwMZBvoTGQS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AAA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hMZBCgAAAGAAAAAYAAAATAAAAAAAAAAAAAAAAAAAAP//////////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C/KH3Gs3BJNBEj5D98W4ADnsxJ4ddDqa3QrxmG0/evs=</DigestValue>
    </Reference>
    <Reference Type="http://www.w3.org/2000/09/xmldsig#Object" URI="#idOfficeObject">
      <DigestMethod Algorithm="http://www.w3.org/2001/04/xmlenc#sha256"/>
      <DigestValue>Gy9fuGYRxgfkQ29wu+3LoQvvPEonnyIlu96BCORp8ls=</DigestValue>
    </Reference>
    <Reference Type="http://uri.etsi.org/01903#SignedProperties" URI="#idSignedProperties">
      <Transforms>
        <Transform Algorithm="http://www.w3.org/TR/2001/REC-xml-c14n-20010315"/>
      </Transforms>
      <DigestMethod Algorithm="http://www.w3.org/2001/04/xmlenc#sha256"/>
      <DigestValue>op19PRTEXUPaN8P1fvfTsHSDUafHTvUC8rxqtlI/byI=</DigestValue>
    </Reference>
    <Reference Type="http://www.w3.org/2000/09/xmldsig#Object" URI="#idValidSigLnImg">
      <DigestMethod Algorithm="http://www.w3.org/2001/04/xmlenc#sha256"/>
      <DigestValue>bdbGbO6TpTZ/SdfPNkrxsVzurh7niPc4Sda8bFAzgSA=</DigestValue>
    </Reference>
    <Reference Type="http://www.w3.org/2000/09/xmldsig#Object" URI="#idInvalidSigLnImg">
      <DigestMethod Algorithm="http://www.w3.org/2001/04/xmlenc#sha256"/>
      <DigestValue>OdQ0d2mKjh5Sf8q02zfJrqy0XjnzOIzEc/eee4sH9Y8=</DigestValue>
    </Reference>
  </SignedInfo>
  <SignatureValue>fKT+wQxUKPZOr/ktQ63GXKGzQ+wYB7as6ZWquF+NTDKy7bE/m3nAFbxDq6Pk2fzl8onW32+KsLck
A+WKiOdLHnpPHxleYkQ+bS4UQHDitMYJ38ZpT9yTQhngiqKxXp/qLwflt0/p9IS2DExmD+MkZBai
x8Iat5meDrB9IRQoj3abzV321oLFlH2GMi4tLJBW8QfOFNBXW/vXgdrglXy/0CcUiOoaDdxUM403
1iDEIyw2p/8h5HJsiEbRnN0WffFKfRenfEI4VZJb4CmZofJQBjM6I2OtcpINMhbbECNA+3wUW//1
RKeAbZZN76aNdmZ8Xrqk1asrn2MRUIwO7U9ndQ==</SignatureValue>
  <KeyInfo>
    <X509Data>
      <X509Certificate>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9YkzC9779/Tcms+8gQcGnLDJ3GWlusm4sHp6Gc4xAjk=</DigestValue>
      </Reference>
      <Reference URI="/word/document.xml?ContentType=application/vnd.openxmlformats-officedocument.wordprocessingml.document.main+xml">
        <DigestMethod Algorithm="http://www.w3.org/2001/04/xmlenc#sha256"/>
        <DigestValue>O3rnrcFBvB2N1NGVd6tyrGxqvT5KwefVbjE7+GthFfo=</DigestValue>
      </Reference>
      <Reference URI="/word/endnotes.xml?ContentType=application/vnd.openxmlformats-officedocument.wordprocessingml.endnotes+xml">
        <DigestMethod Algorithm="http://www.w3.org/2001/04/xmlenc#sha256"/>
        <DigestValue>anBvBo1lOj+rIxX1gzjWh+yda8RNddk0Fn2fVvpsS0E=</DigestValue>
      </Reference>
      <Reference URI="/word/fontTable.xml?ContentType=application/vnd.openxmlformats-officedocument.wordprocessingml.fontTable+xml">
        <DigestMethod Algorithm="http://www.w3.org/2001/04/xmlenc#sha256"/>
        <DigestValue>vPs07h1tFS/DBe9syJ0tYjAUE2MSF7J8wFymMDUC25Q=</DigestValue>
      </Reference>
      <Reference URI="/word/footnotes.xml?ContentType=application/vnd.openxmlformats-officedocument.wordprocessingml.footnotes+xml">
        <DigestMethod Algorithm="http://www.w3.org/2001/04/xmlenc#sha256"/>
        <DigestValue>kjtuudb6Wq/kN47hcPg/KSJIJ0oy6Qkq9wrtRd0BJx0=</DigestValue>
      </Reference>
      <Reference URI="/word/media/image1.jpeg?ContentType=image/jpeg">
        <DigestMethod Algorithm="http://www.w3.org/2001/04/xmlenc#sha256"/>
        <DigestValue>RvPzu1sZFRhQVyZ/h0+Utm9BeILwr1JT3wTS2SKKqAI=</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TH1qImQcYLYLou/36EVAu9ooQ1naDwzDdIksWXdCEfg=</DigestValue>
      </Reference>
      <Reference URI="/word/media/image4.emf?ContentType=image/x-emf">
        <DigestMethod Algorithm="http://www.w3.org/2001/04/xmlenc#sha256"/>
        <DigestValue>sFe7bqm62iFqx5FEes59R7yIWW2Nog9UxjybQ+tBJPY=</DigestValue>
      </Reference>
      <Reference URI="/word/media/image5.emf?ContentType=image/x-emf">
        <DigestMethod Algorithm="http://www.w3.org/2001/04/xmlenc#sha256"/>
        <DigestValue>pzEhu8ew16iEp9l+wgsNSEmz9DcYYi5igpcZcRV/EoY=</DigestValue>
      </Reference>
      <Reference URI="/word/numbering.xml?ContentType=application/vnd.openxmlformats-officedocument.wordprocessingml.numbering+xml">
        <DigestMethod Algorithm="http://www.w3.org/2001/04/xmlenc#sha256"/>
        <DigestValue>RzDyWAFu1Q2hzY8m0zlZPOV2+Yp1gRC0vMya3gY7Ip4=</DigestValue>
      </Reference>
      <Reference URI="/word/settings.xml?ContentType=application/vnd.openxmlformats-officedocument.wordprocessingml.settings+xml">
        <DigestMethod Algorithm="http://www.w3.org/2001/04/xmlenc#sha256"/>
        <DigestValue>Bq43pUULYLUlehRl6KPtWCdLMDdqbGxoewOcvcgnzsw=</DigestValue>
      </Reference>
      <Reference URI="/word/styles.xml?ContentType=application/vnd.openxmlformats-officedocument.wordprocessingml.styles+xml">
        <DigestMethod Algorithm="http://www.w3.org/2001/04/xmlenc#sha256"/>
        <DigestValue>7hvxU7dhCL+Q9DAHSgJU9aEUzj0WFd4UDK1VCssTGf4=</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FBtRy1uIdKJITzGmh4IoNAgue/RSYU/679h7taXgyHE=</DigestValue>
      </Reference>
    </Manifest>
    <SignatureProperties>
      <SignatureProperty Id="idSignatureTime" Target="#idPackageSignature">
        <mdssi:SignatureTime xmlns:mdssi="http://schemas.openxmlformats.org/package/2006/digital-signature">
          <mdssi:Format>YYYY-MM-DDThh:mm:ssTZD</mdssi:Format>
          <mdssi:Value>2023-06-26T13:07:38Z</mdssi:Value>
        </mdssi:SignatureTime>
      </SignatureProperty>
    </SignatureProperties>
  </Object>
  <Object Id="idOfficeObject">
    <SignatureProperties>
      <SignatureProperty Id="idOfficeV1Details" Target="#idPackageSignature">
        <SignatureInfoV1 xmlns="http://schemas.microsoft.com/office/2006/digsig">
          <SetupID>{99303284-F152-438F-B336-115B022A86F9}</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2023-06-26T13:07:38Z</xd:SigningTime>
          <xd:SigningCertificate>
            <xd:Cert>
              <xd:CertDigest>
                <DigestMethod Algorithm="http://www.w3.org/2001/04/xmlenc#sha256"/>
                <DigestValue>Cbv5WSs08H/9W1UJWNa3ZNP+uKxOtGoehGNd50xP6Zk=</DigestValue>
              </xd:CertDigest>
              <xd:IssuerSerial>
                <X509IssuerName>C=BG, L=Sofia, O=Information Services JSC, OID.2.5.4.97=NTRBG-831641791, CN=StampIT Global Qualified CA</X509IssuerName>
                <X509SerialNumber>6147484054803023346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6Bs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jvz5MAAABQQHYE/n8AAAkAAAABAAAA0G7/Av5/AAAAAAAAAAAAAAOFlZL9fwAAoKNrg+8BAAAAAAAAAAAAAAAAAAAAAAAAAAAAAAAAAAD8qsnooX4AAAAAAAAAAAAA/////+8BAAAAAAAAAAAAAEAETovvAQAAAOjvzwAAAABgXkuS7wEAAAcAAAAAAAAAEO1Ui+8BAAA85+/PkwAAAJDn78+TAAAA0c3VAv5/AAAeAAAAAAAAAHKchPQAAAAAHgAAAAAAAACw3Y2P7wEAAEAETovvAQAAyzDZAv5/AADg5u/PkwAAAJDn78+T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CAAAA7wEAAPTejpD9fwAAAM1Gi+8BAADQbv8C/n8AAAAAAAAAAAAAAU/GkP1/AACobRMD/n8AAJyXBwP+fwAAAAAAAAAAAAAAAAAAAAAAAKw0yeihfgAAUO1Pi+8BAADge+/PkwAAAAAAAAAAAAAAQAROi+8BAABIfu/PAAAAAOD///8AAAAABgAAAAAAAAADAAAAAAAAAGx978+TAAAAwH3vz5MAAADRzdUC/n8AACCSEZnvAQAAjWIEAwAAAAAKAQAA7wEAABsAAAD9fwAAQAROi+8BAADLMNkC/n8AABB978+TAAAAwH3vz5M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AIAAAAAAAAACAAAAAAAAAAAAGqD7wEAANBu/wL+fwAAAAAAAAAAAADHs2EF/n8AAKhtEwP+fwAAnJcHA/5/AAAAAAAAAAAAAAAAAAAAAAAADDfJ6KF+AAABAAAAAAAAAEB778+TAAAAAAAAAAAAAABABE6L7wEAAKh9788AAAAA8P///wAAAAAJAAAAAAAAAAQAAAAAAAAAzHzvz5MAAAAgfe/PkwAAANHN1QL+fwAA0JERme8BAACNYgQDAAAAAAwBAADvAQAAGwAAAJMAAABABE6L7wEAAMsw2QL+fwAAcHzvz5MAAAAgfe/PkwAAANAdF5fvAQAAAAAAAGR2AAgAAAAAJQAAAAwAAAAEAAAAGAAAAAwAAAAAAAACEgAAAAwAAAABAAAAHgAAABgAAAApAAAAMwAAAC8AAABIAAAAJQAAAAwAAAAEAAAAVAAAAFQAAAAqAAAAMwAAAC0AAABHAAAAAQAAAFWV20FfQtt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wAAABcAAAAAQAAAFWV20FfQttBCgAAAFAAAAAOAAAATAAAAAAAAAAAAAAAAAAAAP//////////aAAAACIEMAQ9BE8EIAATBDUEPgRABDMEOAQ1BDIEMAQGAAAABgAAAAcAAAAGAAAAAwAAAAUAAAAGAAAABwAAAAcAAAAF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</Object>
  <Object Id="idInvalidSigLnImg">AQAAAGwAAAAAAAAAAAAAAP8AAAB/AAAAAAAAAAAAAABzGwAAtQ0AACBFTUYAAAEAl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4WVkv1/AAAKAAsAAAAAANBu/wL+fwAAAAAAAAAAAAAohZWS/X8AAAAAAAAAAAAAsGvMBP5/AAAAAAAAAAAAAAAAAAAAAAAArO3J6KF+AAACAAAAAAAAAEgAAACTAAAAAAAAAAAAAABABE6L7wEAAEin788AAAAA9f///wAAAAAJAAAAAAAAAAAAAAAAAAAAbKbvz5MAAADApu/PkwAAANHN1QL+fwAAQKKIke8BAAAAAAAAAAAAAEAETovvAQAASKfvz5MAAABABE6L7wEAAMsw2QL+fwAAEKbvz5MAAADApu/Pk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78+TAAAAUEB2BP5/AAAJAAAAAQAAANBu/wL+fwAAAAAAAAAAAAADhZWS/X8AAKCja4PvAQAAAAAAAAAAAAAAAAAAAAAAAAAAAAAAAAAA/KrJ6KF+AAAAAAAAAAAAAP/////vAQAAAAAAAAAAAABABE6L7wEAAADo788AAAAAYF5Lku8BAAAHAAAAAAAAABDtVIvvAQAAPOfvz5MAAACQ5+/PkwAAANHN1QL+fwAAHgAAAAAAAABynIT0AAAAAB4AAAAAAAAAsN2Nj+8BAABABE6L7wEAAMsw2QL+fwAA4Obvz5MAAACQ5+/Pk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O8BAAD03o6Q/X8AAADNRovvAQAA0G7/Av5/AAAAAAAAAAAAAAFPxpD9fwAAqG0TA/5/AACclwcD/n8AAAAAAAAAAAAAAAAAAAAAAACsNMnooX4AAFDtT4vvAQAA4Hvvz5MAAAAAAAAAAAAAAEAETovvAQAASH7vzwAAAADg////AAAAAAYAAAAAAAAAAwAAAAAAAABsfe/PkwAAAMB978+TAAAA0c3VAv5/AAAgkhGZ7wEAAI1iBAMAAAAACgEAAO8BAAAbAAAA/X8AAEAETovvAQAAyzDZAv5/AAAQfe/PkwAAAMB978+T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CAAAAAAAAAAgAAAAAAAAAAABqg+8BAADQbv8C/n8AAAAAAAAAAAAAx7NhBf5/AACobRMD/n8AAJyXBwP+fwAAAAAAAAAAAAAAAAAAAAAAAAw3yeihfgAAAQAAAAAAAABAe+/PkwAAAAAAAAAAAAAAQAROi+8BAACofe/PAAAAAPD///8AAAAACQAAAAAAAAAEAAAAAAAAAMx878+TAAAAIH3vz5MAAADRzdUC/n8AANCREZnvAQAAjWIEAwAAAAAMAQAA7wEAABsAAACTAAAAQAROi+8BAADLMNkC/n8AAHB878+TAAAAIH3vz5MAAADQHReX7wE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2gAAAAiBDAEPQRPBCAAEwQ1BD4EQAQzBDgENQQyBDAEBgAAAAYAAAAHAAAABgAAAAMAAAAFAAAABgAAAAcAAAAHAAAABQ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xAAAAbAAAAAEAAABVldtBX0LbQQoAAABgAAAAKQAAAEwAAAAAAAAAAAAAAAAAAAD//////////6AAAAAXBDAEPAQuAC0APAQ4BD0EOARBBEIESgRABCAAPQQwBCAAHAQXBCUEIAA4BCAAQARKBDoEPgQyBD4ENAQ4BEIENQQ7BCAAPQQwBCAALgAuAC4AAAAGAAAABgAAAAgAAAADAAAABAAAAAgAAAAHAAAABwAAAAcAAAAFAAAABQAAAAcAAAAHAAAAAwAAAAcAAAAGAAAAAwAAAAoAAAAGAAAABgAAAAMAAAAHAAAAAwAAAAcAAAAHAAAABgAAAAcAAAAGAAAABwAAAAYAAAAHAAAABQAAAAYAAAAGAAAAAwAAAAcAAAAGAAAAAwAAAAMAAAADAAAAA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FWV20FfQttBCgAAAHAAAAAjAAAATAAAAAQAAAAJAAAAcAAAAMYAAAB9AAAAlAAAAFMAaQBnAG4AZQBkACAAYgB5ADoAIABUAGEAbgB5AGEAIABIAHIAaQBzAHQAbwB2AGEAIABHAGUAbwByAGcAaQBlAHYAYQAAAAYAAAADAAAABwAAAAcAAAAGAAAABwAAAAMAAAAHAAAABQAAAAMAAAADAAAABgAAAAYAAAAHAAAABQAAAAYAAAADAAAACAAAAAQAAAADAAAABQAAAAQAAAAHAAAABQAAAAYAAAADAAAACAAAAAYAAAAHAAAABAAAAAcAAAADAAAABgAAAAU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f8lvbWm7K41q0qk0wVwMZEHDuUyqdER7hFbWheYhHZc=</DigestValue>
    </Reference>
    <Reference Type="http://www.w3.org/2000/09/xmldsig#Object" URI="#idOfficeObject">
      <DigestMethod Algorithm="http://www.w3.org/2001/04/xmlenc#sha256"/>
      <DigestValue>wcezn+3l8bRLUQd1nR2l72XTKTb9YFTE5ZQTa+TyMZs=</DigestValue>
    </Reference>
    <Reference Type="http://uri.etsi.org/01903#SignedProperties" URI="#idSignedProperties">
      <Transforms>
        <Transform Algorithm="http://www.w3.org/TR/2001/REC-xml-c14n-20010315"/>
      </Transforms>
      <DigestMethod Algorithm="http://www.w3.org/2001/04/xmlenc#sha256"/>
      <DigestValue>XHhM0gWLQ+vTyR27nJ/0u46nBPCVz+IKHN8prYQXKFc=</DigestValue>
    </Reference>
    <Reference Type="http://www.w3.org/2000/09/xmldsig#Object" URI="#idValidSigLnImg">
      <DigestMethod Algorithm="http://www.w3.org/2001/04/xmlenc#sha256"/>
      <DigestValue>LgqyBtuPgH3GD+sJMxF00dC9yMSfcRZyZVkSTI31wiw=</DigestValue>
    </Reference>
    <Reference Type="http://www.w3.org/2000/09/xmldsig#Object" URI="#idInvalidSigLnImg">
      <DigestMethod Algorithm="http://www.w3.org/2001/04/xmlenc#sha256"/>
      <DigestValue>5PLZSDidMBWNUbsdno5rsHZ7z8iKwcf6C6NLblpMYvc=</DigestValue>
    </Reference>
  </SignedInfo>
  <SignatureValue>W7blryObd9pX8eTpdRu0nAo+3vJdLRDYg43kYYi92yM5TEq/ekwoorn39c4EvNPqyVCb+oAj7Tl1
jxVa9eqfAK5BlALIyhdtyhkhtK/aDLzGp49BMc2HJgy/LA2ZzwbsFVaJYPYany7h7U87xQQp1/32
fubRUVk+BFgZ8ayPCW2ZZt/QupBgfliaUG2ow4V9BaJMEYkhx5I6qyqmHE0AfJYhZeuSRvH7QAZ/
cnW/tigCx4b8gnJin1nYGSRlwFVhM8LOepKDY2QpI99J7cRXd23vN938n/YONkzMez00qWEH0SrB
GqGRRgyvD+RqjDMkIpZ0QrqyKAN8ckJa4cV76A==</SignatureValue>
  <KeyInfo>
    <X509Data>
      <X509Certificate>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9YkzC9779/Tcms+8gQcGnLDJ3GWlusm4sHp6Gc4xAjk=</DigestValue>
      </Reference>
      <Reference URI="/word/document.xml?ContentType=application/vnd.openxmlformats-officedocument.wordprocessingml.document.main+xml">
        <DigestMethod Algorithm="http://www.w3.org/2001/04/xmlenc#sha256"/>
        <DigestValue>O3rnrcFBvB2N1NGVd6tyrGxqvT5KwefVbjE7+GthFfo=</DigestValue>
      </Reference>
      <Reference URI="/word/endnotes.xml?ContentType=application/vnd.openxmlformats-officedocument.wordprocessingml.endnotes+xml">
        <DigestMethod Algorithm="http://www.w3.org/2001/04/xmlenc#sha256"/>
        <DigestValue>anBvBo1lOj+rIxX1gzjWh+yda8RNddk0Fn2fVvpsS0E=</DigestValue>
      </Reference>
      <Reference URI="/word/fontTable.xml?ContentType=application/vnd.openxmlformats-officedocument.wordprocessingml.fontTable+xml">
        <DigestMethod Algorithm="http://www.w3.org/2001/04/xmlenc#sha256"/>
        <DigestValue>vPs07h1tFS/DBe9syJ0tYjAUE2MSF7J8wFymMDUC25Q=</DigestValue>
      </Reference>
      <Reference URI="/word/footnotes.xml?ContentType=application/vnd.openxmlformats-officedocument.wordprocessingml.footnotes+xml">
        <DigestMethod Algorithm="http://www.w3.org/2001/04/xmlenc#sha256"/>
        <DigestValue>kjtuudb6Wq/kN47hcPg/KSJIJ0oy6Qkq9wrtRd0BJx0=</DigestValue>
      </Reference>
      <Reference URI="/word/media/image1.jpeg?ContentType=image/jpeg">
        <DigestMethod Algorithm="http://www.w3.org/2001/04/xmlenc#sha256"/>
        <DigestValue>RvPzu1sZFRhQVyZ/h0+Utm9BeILwr1JT3wTS2SKKqAI=</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TH1qImQcYLYLou/36EVAu9ooQ1naDwzDdIksWXdCEfg=</DigestValue>
      </Reference>
      <Reference URI="/word/media/image4.emf?ContentType=image/x-emf">
        <DigestMethod Algorithm="http://www.w3.org/2001/04/xmlenc#sha256"/>
        <DigestValue>sFe7bqm62iFqx5FEes59R7yIWW2Nog9UxjybQ+tBJPY=</DigestValue>
      </Reference>
      <Reference URI="/word/media/image5.emf?ContentType=image/x-emf">
        <DigestMethod Algorithm="http://www.w3.org/2001/04/xmlenc#sha256"/>
        <DigestValue>pzEhu8ew16iEp9l+wgsNSEmz9DcYYi5igpcZcRV/EoY=</DigestValue>
      </Reference>
      <Reference URI="/word/numbering.xml?ContentType=application/vnd.openxmlformats-officedocument.wordprocessingml.numbering+xml">
        <DigestMethod Algorithm="http://www.w3.org/2001/04/xmlenc#sha256"/>
        <DigestValue>RzDyWAFu1Q2hzY8m0zlZPOV2+Yp1gRC0vMya3gY7Ip4=</DigestValue>
      </Reference>
      <Reference URI="/word/settings.xml?ContentType=application/vnd.openxmlformats-officedocument.wordprocessingml.settings+xml">
        <DigestMethod Algorithm="http://www.w3.org/2001/04/xmlenc#sha256"/>
        <DigestValue>Bq43pUULYLUlehRl6KPtWCdLMDdqbGxoewOcvcgnzsw=</DigestValue>
      </Reference>
      <Reference URI="/word/styles.xml?ContentType=application/vnd.openxmlformats-officedocument.wordprocessingml.styles+xml">
        <DigestMethod Algorithm="http://www.w3.org/2001/04/xmlenc#sha256"/>
        <DigestValue>7hvxU7dhCL+Q9DAHSgJU9aEUzj0WFd4UDK1VCssTGf4=</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FBtRy1uIdKJITzGmh4IoNAgue/RSYU/679h7taXgyHE=</DigestValue>
      </Reference>
    </Manifest>
    <SignatureProperties>
      <SignatureProperty Id="idSignatureTime" Target="#idPackageSignature">
        <mdssi:SignatureTime xmlns:mdssi="http://schemas.openxmlformats.org/package/2006/digital-signature">
          <mdssi:Format>YYYY-MM-DDThh:mm:ssTZD</mdssi:Format>
          <mdssi:Value>2023-06-26T13:11:29Z</mdssi:Value>
        </mdssi:SignatureTime>
      </SignatureProperty>
    </SignatureProperties>
  </Object>
  <Object Id="idOfficeObject">
    <SignatureProperties>
      <SignatureProperty Id="idOfficeV1Details" Target="#idPackageSignature">
        <SignatureInfoV1 xmlns="http://schemas.microsoft.com/office/2006/digsig">
          <SetupID>{88B6F816-19C8-4678-A398-B4943658559D}</SetupID>
          <SignatureText>РСР02-4/26.06.2023</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2023-06-26T13:11:29Z</xd:SigningTime>
          <xd:SigningCertificate>
            <xd:Cert>
              <xd:CertDigest>
                <DigestMethod Algorithm="http://www.w3.org/2001/04/xmlenc#sha256"/>
                <DigestValue>bCwE1HUclbAKlHPf6O67N5ClwWKRp1yKVqL0qetjrus=</DigestValue>
              </xd:CertDigest>
              <xd:IssuerSerial>
                <X509IssuerName>C=BG, L=Sofia, O=Information Services JSC, OID.2.5.4.97=NTRBG-831641791, CN=StampIT Global Qualified CA</X509IssuerName>
                <X509SerialNumber>8116766762227708377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N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cN0v9hcAAACw/OuN+X8AAHBx5435fwAA0G5NLPp/AAAAAAAAAAAAAAAAAAAAAAAAAAAAAAAAAAAAAAAAAAAAAAAAAAAAAAAAAAAAAAAAAAAi+mtx7ZsAAAAAAAAAAAAAAAAAAAAAAAAAAAAAAAAAAIBdwA/4AQAAwOkv9gAAAACA6bIW+AEAAAcAAAAAAAAAQEzgFPgBAAD86C/2FwAAAFDpL/YXAAAA0c0jLPp/AACg7S/2FwAAAOjsL/YAAAAAIO4v9hcAAACw9C/2FwAAAIBdwA/4AQAAyzAnLPp/AACg6C/2FwAAAFDpL/YX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CAAAAH8gAAMy55UFyxAAAIIEv9hcAAADQbk0s+n8AAAAAAAAAAAAAX6XG//l/AACobZIs+n8AAJyXhiz6fwAAAAAAAAAAAAAAAAAAAAAAACJha3HtmwAAahPH//l/AABwgC/2FwAAAAAAAAAAAAAAgF3AD/gBAADYgi/2AAAAAOD///8AAAAABgAAAAAAAAACAAAAAAAAAPyBL/YXAAAAUIIv9hcAAADRzSMs+n8AAICtMhz4AQAAjWKDLAAAAAChAAAA+AEAABsAAAD5fwAAgF3AD/gBAADLMCcs+n8AAKCBL/YXAAAAUIIv9hc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</Object>
  <Object Id="idInvalidSigLnImg">AQAAAGwAAAAAAAAAAAAAAP8AAAB/AAAAAAAAAAAAAABzGwAAtQ0AACBFTUYAAAEA4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KgAAAAcKDQcKDQcJDQ4WMShFrjFU1TJV1gECBAIDBAECBQoRKyZBowsTMQAAAAAAfqbJd6PIeqDCQFZ4JTd0Lk/HMVPSGy5uFiE4GypVJ0KnHjN9AAABQyoAAACcz+7S6ffb7fnC0t1haH0hMm8aLXIuT8ggOIwoRKslP58cK08AAAEAAAAAAMHg9P///////////+bm5k9SXjw/SzBRzTFU0y1NwSAyVzFGXwEBAkMq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IAAAAXAAAAAAAAAAAAAAAAAL8s+n8AANBuTSz6fwAAAAAAAAAAAAAoha6N+X8AAAAA6Sz6fwAARH7ejfl/AAAAAAAAAAAAAAAAAAAAAAAA8rprce2bAAAAAAAAAAAAAEgAAAAXAAAAAAAAAAAAAACAXcAP+AEAAAipL/YAAAAA9f///wAAAAAJAAAAAAAAAAAAAAAAAAAALKgv9hcAAACAqC/2FwAAANHNIyz6fwAAEG/pFPgBAAAAAAAAAAAAAIBdwA/4AQAACKkv9hcAAACAXcAP+AEAAMswJyz6fwAA0Kcv9hcAAACAqC/2F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HDdL/YXAAAAsPzrjfl/AABwceeN+X8AANBuTSz6fwAAAAAAAAAAAAAAAAAAAAAAAAAAAAAAAAAAAAAAAAAAAAAAAAAAAAAAAAAAAAAAAAAAIvprce2bAAAAAAAAAAAAAAAAAAAAAAAAAAAAAAAAAACAXcAP+AEAAMDpL/YAAAAAgOmyFvgBAAAHAAAAAAAAAEBM4BT4AQAA/Ogv9hcAAABQ6S/2FwAAANHNIyz6fwAAoO0v9hcAAADo7C/2AAAAACDuL/YXAAAAsPQv9hcAAACAXcAP+AEAAMswJyz6fwAAoOgv9hcAAABQ6S/2F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B/IAADMueVBcsQAACCBL/YXAAAA0G5NLPp/AAAAAAAAAAAAAF+lxv/5fwAAqG2SLPp/AACcl4Ys+n8AAAAAAAAAAAAAAAAAAAAAAAAiYWtx7ZsAAGoTx//5fwAAcIAv9hcAAAAAAAAAAAAAAIBdwA/4AQAA2IIv9gAAAADg////AAAAAAYAAAAAAAAAAgAAAAAAAAD8gS/2FwAAAFCCL/YXAAAA0c0jLPp/AACArTIc+AEAAI1igywAAAAAoQAAAPgBAAAbAAAA+X8AAIBdwA/4AQAAyzAnLPp/AACggS/2FwAAAFCCL/YX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BCAB-3157-45DD-9C32-09B10A72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15665</Words>
  <Characters>89292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Snezhana Grigorova</cp:lastModifiedBy>
  <cp:revision>4</cp:revision>
  <cp:lastPrinted>2023-06-08T13:02:00Z</cp:lastPrinted>
  <dcterms:created xsi:type="dcterms:W3CDTF">2023-06-22T08:31:00Z</dcterms:created>
  <dcterms:modified xsi:type="dcterms:W3CDTF">2023-06-22T08:47:00Z</dcterms:modified>
</cp:coreProperties>
</file>