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5D" w:rsidRDefault="00E55436" w:rsidP="0015015D">
      <w:pPr>
        <w:spacing w:after="200" w:line="276" w:lineRule="auto"/>
        <w:rPr>
          <w:b/>
          <w:lang w:eastAsia="en-US" w:bidi="en-US"/>
        </w:rPr>
      </w:pPr>
      <w:r>
        <w:rPr>
          <w:b/>
          <w:sz w:val="16"/>
          <w:szCs w:val="16"/>
          <w:lang w:val="en-US"/>
        </w:rPr>
        <w:t xml:space="preserve">   </w:t>
      </w:r>
      <w:r w:rsidR="001058C9">
        <w:rPr>
          <w:b/>
          <w:noProof/>
          <w:sz w:val="16"/>
          <w:szCs w:val="16"/>
          <w:lang w:val="it-IT" w:eastAsia="it-IT"/>
        </w:rPr>
        <w:drawing>
          <wp:inline distT="0" distB="0" distL="0" distR="0">
            <wp:extent cx="1695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inline>
        </w:drawing>
      </w:r>
      <w:r w:rsidR="0015015D">
        <w:rPr>
          <w:b/>
          <w:sz w:val="16"/>
          <w:szCs w:val="16"/>
        </w:rPr>
        <w:t xml:space="preserve">                                          </w:t>
      </w:r>
      <w:r w:rsidR="00A92939">
        <w:rPr>
          <w:b/>
          <w:sz w:val="16"/>
          <w:szCs w:val="16"/>
        </w:rPr>
        <w:t xml:space="preserve">                                                                                                                                   </w:t>
      </w:r>
      <w:r w:rsidR="0015015D">
        <w:rPr>
          <w:b/>
          <w:sz w:val="16"/>
          <w:szCs w:val="16"/>
        </w:rPr>
        <w:t xml:space="preserve">                                                                             </w:t>
      </w:r>
      <w:r w:rsidR="001058C9">
        <w:rPr>
          <w:noProof/>
          <w:lang w:val="it-IT" w:eastAsia="it-IT"/>
        </w:rPr>
        <w:drawing>
          <wp:inline distT="0" distB="0" distL="0" distR="0">
            <wp:extent cx="1323975" cy="800100"/>
            <wp:effectExtent l="0" t="0" r="0" b="0"/>
            <wp:docPr id="2" name="Picture 2" descr="&amp;Rcy;&amp;iecy;&amp;zcy;&amp;ucy;&amp;lcy;&amp;tcy;&amp;acy;&amp;tcy; &amp;scy; &amp;icy;&amp;zcy;&amp;ocy;&amp;bcy;&amp;rcy;&amp;acy;&amp;zhcy;&amp;iecy;&amp;ncy;&amp;icy;&amp;iecy; &amp;zcy;&amp;acy; &amp;iecy;&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iecy;&amp;zcy;&amp;ucy;&amp;lcy;&amp;tcy;&amp;acy;&amp;tcy; &amp;scy; &amp;icy;&amp;zcy;&amp;ocy;&amp;bcy;&amp;rcy;&amp;acy;&amp;zhcy;&amp;iecy;&amp;ncy;&amp;icy;&amp;iecy; &amp;zcy;&amp;acy; &amp;iecy;&amp;s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800100"/>
                    </a:xfrm>
                    <a:prstGeom prst="rect">
                      <a:avLst/>
                    </a:prstGeom>
                    <a:noFill/>
                    <a:ln>
                      <a:noFill/>
                    </a:ln>
                  </pic:spPr>
                </pic:pic>
              </a:graphicData>
            </a:graphic>
          </wp:inline>
        </w:drawing>
      </w:r>
    </w:p>
    <w:p w:rsidR="00E55436" w:rsidRPr="005916BE" w:rsidRDefault="003D43C7" w:rsidP="00E55436">
      <w:pPr>
        <w:rPr>
          <w:b/>
          <w:color w:val="4F6228"/>
          <w:sz w:val="20"/>
          <w:szCs w:val="20"/>
          <w:lang w:val="ru-RU"/>
        </w:rPr>
      </w:pPr>
      <w:r w:rsidRPr="005916BE">
        <w:rPr>
          <w:b/>
          <w:color w:val="4F6228"/>
          <w:sz w:val="20"/>
          <w:szCs w:val="20"/>
          <w:lang w:val="ru-RU"/>
        </w:rPr>
        <w:t xml:space="preserve">     </w:t>
      </w:r>
      <w:r w:rsidR="00E55436" w:rsidRPr="005916BE">
        <w:rPr>
          <w:b/>
          <w:color w:val="4F6228"/>
          <w:sz w:val="20"/>
          <w:szCs w:val="20"/>
          <w:lang w:val="ru-RU"/>
        </w:rPr>
        <w:t xml:space="preserve"> Програма за развитие на                                                                                   </w:t>
      </w:r>
      <w:r w:rsidRPr="005916BE">
        <w:rPr>
          <w:b/>
          <w:color w:val="4F6228"/>
          <w:sz w:val="20"/>
          <w:szCs w:val="20"/>
          <w:lang w:val="ru-RU"/>
        </w:rPr>
        <w:t xml:space="preserve">   </w:t>
      </w:r>
      <w:r w:rsidR="00A92939">
        <w:rPr>
          <w:b/>
          <w:color w:val="4F6228"/>
          <w:sz w:val="20"/>
          <w:szCs w:val="20"/>
          <w:lang w:val="ru-RU"/>
        </w:rPr>
        <w:t xml:space="preserve">                                                                                                             </w:t>
      </w:r>
      <w:r w:rsidRPr="005916BE">
        <w:rPr>
          <w:b/>
          <w:color w:val="4F6228"/>
          <w:sz w:val="20"/>
          <w:szCs w:val="20"/>
          <w:lang w:val="ru-RU"/>
        </w:rPr>
        <w:t xml:space="preserve"> </w:t>
      </w:r>
      <w:r w:rsidR="00E55436" w:rsidRPr="005916BE">
        <w:rPr>
          <w:b/>
          <w:color w:val="4F6228"/>
          <w:sz w:val="20"/>
          <w:szCs w:val="20"/>
          <w:lang w:val="ru-RU"/>
        </w:rPr>
        <w:t xml:space="preserve"> Европейски земеделски фонд                                                                              </w:t>
      </w:r>
    </w:p>
    <w:p w:rsidR="003D43C7" w:rsidRPr="00A92939" w:rsidRDefault="00A9547E" w:rsidP="00A92939">
      <w:pPr>
        <w:spacing w:after="200"/>
        <w:rPr>
          <w:b/>
          <w:color w:val="4F6228"/>
          <w:sz w:val="20"/>
          <w:szCs w:val="20"/>
          <w:lang w:val="ru-RU"/>
        </w:rPr>
      </w:pPr>
      <w:r>
        <w:rPr>
          <w:b/>
          <w:color w:val="4F6228"/>
          <w:sz w:val="20"/>
          <w:szCs w:val="20"/>
          <w:lang w:val="ru-RU"/>
        </w:rPr>
        <w:t xml:space="preserve">   </w:t>
      </w:r>
      <w:r w:rsidR="00E55436" w:rsidRPr="005916BE">
        <w:rPr>
          <w:b/>
          <w:color w:val="4F6228"/>
          <w:sz w:val="20"/>
          <w:szCs w:val="20"/>
          <w:lang w:val="ru-RU"/>
        </w:rPr>
        <w:t xml:space="preserve"> селските райони  </w:t>
      </w:r>
      <w:r>
        <w:rPr>
          <w:b/>
          <w:color w:val="4F6228"/>
          <w:sz w:val="20"/>
          <w:szCs w:val="20"/>
          <w:lang w:val="ru-RU"/>
        </w:rPr>
        <w:t>2014-2020</w:t>
      </w:r>
      <w:r w:rsidR="00E55436" w:rsidRPr="005916BE">
        <w:rPr>
          <w:b/>
          <w:color w:val="4F6228"/>
          <w:sz w:val="20"/>
          <w:szCs w:val="20"/>
          <w:lang w:val="ru-RU"/>
        </w:rPr>
        <w:t xml:space="preserve">                                                </w:t>
      </w:r>
      <w:r>
        <w:rPr>
          <w:b/>
          <w:color w:val="4F6228"/>
          <w:sz w:val="20"/>
          <w:szCs w:val="20"/>
          <w:lang w:val="ru-RU"/>
        </w:rPr>
        <w:t xml:space="preserve">                        </w:t>
      </w:r>
      <w:r w:rsidR="00E55436" w:rsidRPr="005916BE">
        <w:rPr>
          <w:b/>
          <w:color w:val="4F6228"/>
          <w:sz w:val="20"/>
          <w:szCs w:val="20"/>
          <w:lang w:val="ru-RU"/>
        </w:rPr>
        <w:t xml:space="preserve">   </w:t>
      </w:r>
      <w:r>
        <w:rPr>
          <w:b/>
          <w:color w:val="4F6228"/>
          <w:sz w:val="20"/>
          <w:szCs w:val="20"/>
          <w:lang w:val="ru-RU"/>
        </w:rPr>
        <w:t xml:space="preserve">      </w:t>
      </w:r>
      <w:r w:rsidR="00A92939">
        <w:rPr>
          <w:b/>
          <w:color w:val="4F6228"/>
          <w:sz w:val="20"/>
          <w:szCs w:val="20"/>
          <w:lang w:val="ru-RU"/>
        </w:rPr>
        <w:t xml:space="preserve">                                                                                                               </w:t>
      </w:r>
      <w:r>
        <w:rPr>
          <w:b/>
          <w:color w:val="4F6228"/>
          <w:sz w:val="20"/>
          <w:szCs w:val="20"/>
          <w:lang w:val="ru-RU"/>
        </w:rPr>
        <w:t xml:space="preserve"> </w:t>
      </w:r>
      <w:r w:rsidR="00E55436" w:rsidRPr="005916BE">
        <w:rPr>
          <w:b/>
          <w:color w:val="4F6228"/>
          <w:sz w:val="20"/>
          <w:szCs w:val="20"/>
          <w:lang w:val="ru-RU"/>
        </w:rPr>
        <w:t>за развитие на селските райони</w:t>
      </w:r>
    </w:p>
    <w:p w:rsidR="002F3E64" w:rsidRDefault="00EF7D2B" w:rsidP="00056D2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AF41F5FF-3503-4203-8188-87C9515B2F78}" provid="{00000000-0000-0000-0000-000000000000}" issignatureline="t"/>
          </v:shape>
        </w:pict>
      </w:r>
    </w:p>
    <w:p w:rsidR="00D72EFD" w:rsidRPr="00187679" w:rsidRDefault="00D72EFD" w:rsidP="00D72EFD">
      <w:r w:rsidRPr="00187679">
        <w:t>Утвърдил:</w:t>
      </w:r>
    </w:p>
    <w:p w:rsidR="00D72EFD" w:rsidRPr="00D72EFD" w:rsidRDefault="00C45B09" w:rsidP="00D72EFD">
      <w:pPr>
        <w:ind w:left="1134"/>
        <w:jc w:val="both"/>
        <w:rPr>
          <w:b/>
        </w:rPr>
      </w:pPr>
      <w:r>
        <w:rPr>
          <w:b/>
        </w:rPr>
        <w:t>д</w:t>
      </w:r>
      <w:r w:rsidR="00027B6F">
        <w:rPr>
          <w:b/>
        </w:rPr>
        <w:t>-р Лозана Василева</w:t>
      </w:r>
    </w:p>
    <w:p w:rsidR="00D72EFD" w:rsidRPr="00D72EFD" w:rsidRDefault="00C45B09" w:rsidP="00D72EFD">
      <w:pPr>
        <w:ind w:left="1134"/>
        <w:jc w:val="both"/>
        <w:rPr>
          <w:b/>
        </w:rPr>
      </w:pPr>
      <w:r>
        <w:rPr>
          <w:b/>
        </w:rPr>
        <w:t>з</w:t>
      </w:r>
      <w:r w:rsidR="00D72EFD" w:rsidRPr="00D72EFD">
        <w:rPr>
          <w:b/>
        </w:rPr>
        <w:t xml:space="preserve">аместник – министър и </w:t>
      </w:r>
    </w:p>
    <w:p w:rsidR="00056D28" w:rsidRDefault="00C45B09" w:rsidP="00A92939">
      <w:pPr>
        <w:ind w:left="708" w:firstLine="426"/>
        <w:rPr>
          <w:b/>
        </w:rPr>
      </w:pPr>
      <w:r>
        <w:rPr>
          <w:b/>
        </w:rPr>
        <w:t>п</w:t>
      </w:r>
      <w:r w:rsidR="00D72EFD" w:rsidRPr="00D72EFD">
        <w:rPr>
          <w:b/>
        </w:rPr>
        <w:t>ред</w:t>
      </w:r>
      <w:r w:rsidR="00B3214B">
        <w:rPr>
          <w:b/>
        </w:rPr>
        <w:t xml:space="preserve">седател на КН на ПРСР </w:t>
      </w:r>
    </w:p>
    <w:p w:rsidR="00056D28" w:rsidRPr="00D72EFD" w:rsidRDefault="00EF7D2B" w:rsidP="00D72EFD">
      <w:pPr>
        <w:ind w:left="708" w:firstLine="426"/>
        <w:rPr>
          <w:b/>
          <w:lang w:bidi="en-US"/>
        </w:rPr>
      </w:pPr>
      <w:r>
        <w:rPr>
          <w:b/>
        </w:rPr>
        <w:pict>
          <v:shape id="_x0000_i1026" type="#_x0000_t75" alt="Microsoft Office Signature Line..." style="width:192pt;height:96pt">
            <v:imagedata r:id="rId12" o:title=""/>
            <o:lock v:ext="edit" ungrouping="t" rotation="t" cropping="t" verticies="t" text="t" grouping="t"/>
            <o:signatureline v:ext="edit" id="{5B3D5294-BC34-49D1-93F2-18A9C838A29B}" provid="{00000000-0000-0000-0000-000000000000}" o:suggestedsigner="Д-р Лозана Василева" o:suggestedsigner2="зам.-министър МЗХГ" issignatureline="t"/>
          </v:shape>
        </w:pict>
      </w:r>
      <w:bookmarkStart w:id="0" w:name="_GoBack"/>
      <w:bookmarkEnd w:id="0"/>
    </w:p>
    <w:p w:rsidR="00A92939" w:rsidRDefault="00A92939" w:rsidP="00A92939">
      <w:pPr>
        <w:jc w:val="center"/>
        <w:rPr>
          <w:rFonts w:eastAsia="Calibri"/>
          <w:b/>
          <w:lang w:eastAsia="en-US"/>
        </w:rPr>
      </w:pPr>
    </w:p>
    <w:p w:rsidR="00A92939" w:rsidRPr="00A92939" w:rsidRDefault="00A92939" w:rsidP="00A92939">
      <w:pPr>
        <w:jc w:val="center"/>
        <w:rPr>
          <w:rFonts w:eastAsia="Calibri"/>
          <w:b/>
          <w:lang w:eastAsia="en-US"/>
        </w:rPr>
      </w:pPr>
      <w:r w:rsidRPr="00A92939">
        <w:rPr>
          <w:rFonts w:eastAsia="Calibri"/>
          <w:b/>
          <w:lang w:eastAsia="en-US"/>
        </w:rPr>
        <w:t>ПРОТОКОЛ</w:t>
      </w:r>
    </w:p>
    <w:p w:rsidR="00A92939" w:rsidRPr="00A92939" w:rsidRDefault="00A92939" w:rsidP="00A92939">
      <w:pPr>
        <w:jc w:val="center"/>
        <w:rPr>
          <w:rFonts w:eastAsia="Calibri"/>
          <w:b/>
          <w:lang w:eastAsia="en-US"/>
        </w:rPr>
      </w:pPr>
      <w:r w:rsidRPr="00A92939">
        <w:rPr>
          <w:rFonts w:eastAsia="Calibri"/>
          <w:b/>
          <w:lang w:eastAsia="en-US"/>
        </w:rPr>
        <w:t>ОТ  ПРОВЕДЕНА ПИСМЕНА ПРОЦЕДУРА</w:t>
      </w:r>
    </w:p>
    <w:p w:rsidR="00A92939" w:rsidRPr="00A92939" w:rsidRDefault="00A92939" w:rsidP="00A92939">
      <w:pPr>
        <w:jc w:val="center"/>
        <w:rPr>
          <w:rFonts w:eastAsia="Calibri"/>
          <w:b/>
          <w:lang w:eastAsia="en-US"/>
        </w:rPr>
      </w:pPr>
      <w:r w:rsidRPr="00A92939">
        <w:rPr>
          <w:rFonts w:eastAsia="Calibri"/>
          <w:b/>
          <w:lang w:eastAsia="en-US"/>
        </w:rPr>
        <w:t>НА КОМИТЕТА ПО НАБЛЮДЕНИЕ НА ПРОГРАМАТА ЗА РАЗВИТИЕ НА СЕЛСКИТЕ РАЙОНИ (ПРСР)  2014-2020 г.</w:t>
      </w:r>
    </w:p>
    <w:p w:rsidR="00A92939" w:rsidRPr="00A92939" w:rsidRDefault="00A92939" w:rsidP="00A92939">
      <w:pPr>
        <w:jc w:val="center"/>
        <w:rPr>
          <w:rFonts w:eastAsia="Calibri"/>
          <w:b/>
          <w:lang w:eastAsia="en-US"/>
        </w:rPr>
      </w:pPr>
      <w:r w:rsidRPr="00A92939">
        <w:rPr>
          <w:rFonts w:eastAsia="Calibri"/>
          <w:b/>
          <w:lang w:eastAsia="en-US"/>
        </w:rPr>
        <w:t>08-16.10.2020 г.</w:t>
      </w:r>
    </w:p>
    <w:p w:rsidR="00A92939" w:rsidRDefault="00A92939" w:rsidP="00A92939">
      <w:pPr>
        <w:spacing w:after="120" w:line="276" w:lineRule="auto"/>
        <w:ind w:left="708"/>
        <w:jc w:val="both"/>
        <w:rPr>
          <w:rFonts w:eastAsia="Calibri"/>
          <w:lang w:eastAsia="en-US"/>
        </w:rPr>
      </w:pPr>
    </w:p>
    <w:p w:rsidR="00A92939" w:rsidRDefault="00A92939" w:rsidP="00A92939">
      <w:pPr>
        <w:spacing w:after="120" w:line="276" w:lineRule="auto"/>
        <w:ind w:left="708"/>
        <w:jc w:val="both"/>
        <w:rPr>
          <w:rFonts w:eastAsia="Calibri"/>
          <w:lang w:eastAsia="en-US"/>
        </w:rPr>
      </w:pPr>
      <w:r w:rsidRPr="00A92939">
        <w:rPr>
          <w:rFonts w:eastAsia="Calibri"/>
          <w:lang w:eastAsia="en-US"/>
        </w:rPr>
        <w:t>ФАКТОЛОГИЯ:</w:t>
      </w:r>
    </w:p>
    <w:p w:rsidR="00A92939" w:rsidRPr="00A92939" w:rsidRDefault="00A92939" w:rsidP="00A92939">
      <w:pPr>
        <w:spacing w:after="120" w:line="276" w:lineRule="auto"/>
        <w:ind w:left="708"/>
        <w:jc w:val="both"/>
        <w:rPr>
          <w:rFonts w:eastAsia="Calibri"/>
          <w:lang w:eastAsia="en-US"/>
        </w:rPr>
      </w:pPr>
      <w:r w:rsidRPr="00A92939">
        <w:rPr>
          <w:rFonts w:eastAsia="Calibri"/>
          <w:lang w:eastAsia="en-US"/>
        </w:rPr>
        <w:lastRenderedPageBreak/>
        <w:t xml:space="preserve">Съобразявайки се с удължаването на обявената извънредна епидемична обстановка в страната във връзка с епидемията от COVID 19, в периода 08-16.10.2020 г. </w:t>
      </w:r>
      <w:r w:rsidRPr="00A92939">
        <w:rPr>
          <w:bCs/>
          <w:lang w:eastAsia="en-US"/>
        </w:rPr>
        <w:t>се проведе писмена неприсъствена съгласувателна процедура на Комитета з</w:t>
      </w:r>
      <w:r w:rsidR="00F0703C">
        <w:rPr>
          <w:bCs/>
          <w:lang w:eastAsia="en-US"/>
        </w:rPr>
        <w:t>а наблюдение на ПРСР (2014-2020)</w:t>
      </w:r>
      <w:r w:rsidRPr="00A92939">
        <w:rPr>
          <w:bCs/>
          <w:lang w:eastAsia="en-US"/>
        </w:rPr>
        <w:t xml:space="preserve"> за разглеждане и одобрение на следните предложения:</w:t>
      </w:r>
      <w:r w:rsidRPr="00A92939">
        <w:rPr>
          <w:rFonts w:eastAsia="Calibri"/>
          <w:lang w:eastAsia="en-US"/>
        </w:rPr>
        <w:t xml:space="preserve"> </w:t>
      </w:r>
    </w:p>
    <w:p w:rsidR="00A92939" w:rsidRPr="00A92939" w:rsidRDefault="00A92939" w:rsidP="00A92939">
      <w:pPr>
        <w:spacing w:after="120" w:line="276" w:lineRule="auto"/>
        <w:ind w:left="708"/>
        <w:jc w:val="both"/>
        <w:rPr>
          <w:rFonts w:eastAsia="Calibri"/>
          <w:lang w:eastAsia="en-US"/>
        </w:rPr>
      </w:pPr>
      <w:r w:rsidRPr="00A92939">
        <w:rPr>
          <w:rFonts w:eastAsia="Calibri"/>
          <w:lang w:eastAsia="en-US"/>
        </w:rPr>
        <w:t>1. Актуализиране на Индикативната годишна работна програма (ИГРП) на ПРСР за 2020 година.</w:t>
      </w:r>
    </w:p>
    <w:p w:rsidR="00A92939" w:rsidRPr="00A92939" w:rsidRDefault="00A92939" w:rsidP="00A92939">
      <w:pPr>
        <w:spacing w:after="120" w:line="276" w:lineRule="auto"/>
        <w:ind w:left="708"/>
        <w:jc w:val="both"/>
        <w:rPr>
          <w:rFonts w:eastAsia="Calibri"/>
          <w:lang w:eastAsia="en-US"/>
        </w:rPr>
      </w:pPr>
      <w:r w:rsidRPr="00A92939">
        <w:rPr>
          <w:rFonts w:eastAsia="Calibri"/>
          <w:lang w:eastAsia="en-US"/>
        </w:rPr>
        <w:t>2.</w:t>
      </w:r>
      <w:r w:rsidRPr="00194641">
        <w:rPr>
          <w:rFonts w:ascii="Calibri" w:eastAsia="Calibri" w:hAnsi="Calibri"/>
          <w:sz w:val="22"/>
          <w:szCs w:val="22"/>
          <w:lang w:eastAsia="en-US"/>
        </w:rPr>
        <w:t xml:space="preserve"> </w:t>
      </w:r>
      <w:r w:rsidRPr="00A92939">
        <w:rPr>
          <w:rFonts w:eastAsia="Calibri"/>
          <w:lang w:eastAsia="en-US"/>
        </w:rPr>
        <w:t>Проект на</w:t>
      </w:r>
      <w:r w:rsidRPr="00A92939">
        <w:rPr>
          <w:rFonts w:ascii="Calibri" w:eastAsia="Calibri" w:hAnsi="Calibri"/>
          <w:sz w:val="22"/>
          <w:szCs w:val="22"/>
          <w:lang w:eastAsia="en-US"/>
        </w:rPr>
        <w:t xml:space="preserve"> </w:t>
      </w:r>
      <w:r w:rsidRPr="00A92939">
        <w:rPr>
          <w:rFonts w:eastAsia="Calibri"/>
          <w:lang w:eastAsia="en-US"/>
        </w:rPr>
        <w:t>критерии за подбор на проектни предложения по подмярка 16.4 „Подкрепа за хоризонтално и вертикално сътрудничество между участниците във веригата на доставки“ от мярка 16 „Сътрудничество“ на ПРСР (2014-2020).</w:t>
      </w:r>
    </w:p>
    <w:p w:rsidR="00A92939" w:rsidRPr="00A92939" w:rsidRDefault="00A92939" w:rsidP="00A92939">
      <w:pPr>
        <w:spacing w:after="120" w:line="276" w:lineRule="auto"/>
        <w:ind w:left="708"/>
        <w:jc w:val="both"/>
        <w:rPr>
          <w:rFonts w:eastAsia="Calibri"/>
          <w:lang w:eastAsia="en-US"/>
        </w:rPr>
      </w:pPr>
      <w:r w:rsidRPr="00A92939">
        <w:rPr>
          <w:rFonts w:eastAsia="Calibri"/>
          <w:lang w:eastAsia="en-US"/>
        </w:rPr>
        <w:t xml:space="preserve">3. Проект на критерии за подбор на проектни предложения по подмярка 2.2 „Създаване на консултантски услуги“ от мярка 2 „Консултантски услуги, услуги по управление на стопанство и услуги </w:t>
      </w:r>
      <w:r w:rsidR="00F0703C">
        <w:rPr>
          <w:rFonts w:eastAsia="Calibri"/>
          <w:lang w:eastAsia="en-US"/>
        </w:rPr>
        <w:t>по заместване в стопанство“ на ПРСР</w:t>
      </w:r>
      <w:r w:rsidRPr="00A92939">
        <w:rPr>
          <w:rFonts w:eastAsia="Calibri"/>
          <w:lang w:eastAsia="en-US"/>
        </w:rPr>
        <w:t xml:space="preserve"> </w:t>
      </w:r>
      <w:r w:rsidR="00F0703C">
        <w:rPr>
          <w:rFonts w:eastAsia="Calibri"/>
          <w:lang w:eastAsia="en-US"/>
        </w:rPr>
        <w:t>(</w:t>
      </w:r>
      <w:r w:rsidRPr="00A92939">
        <w:rPr>
          <w:rFonts w:eastAsia="Calibri"/>
          <w:lang w:eastAsia="en-US"/>
        </w:rPr>
        <w:t>2014-2020</w:t>
      </w:r>
      <w:r w:rsidR="00F0703C">
        <w:rPr>
          <w:rFonts w:eastAsia="Calibri"/>
          <w:lang w:eastAsia="en-US"/>
        </w:rPr>
        <w:t xml:space="preserve">) </w:t>
      </w:r>
      <w:r w:rsidRPr="00A92939">
        <w:rPr>
          <w:rFonts w:eastAsia="Calibri"/>
          <w:lang w:eastAsia="en-US"/>
        </w:rPr>
        <w:t>.</w:t>
      </w:r>
    </w:p>
    <w:p w:rsidR="00A92939" w:rsidRPr="00A92939" w:rsidRDefault="00A92939" w:rsidP="00A92939">
      <w:pPr>
        <w:spacing w:after="120" w:line="276" w:lineRule="auto"/>
        <w:ind w:left="708"/>
        <w:jc w:val="both"/>
        <w:rPr>
          <w:rFonts w:eastAsia="Calibri"/>
          <w:lang w:eastAsia="en-US"/>
        </w:rPr>
      </w:pPr>
      <w:r>
        <w:rPr>
          <w:rFonts w:eastAsia="Calibri"/>
          <w:lang w:eastAsia="en-US"/>
        </w:rPr>
        <w:t>Одобрение на материалите от</w:t>
      </w:r>
      <w:r w:rsidRPr="00A92939">
        <w:rPr>
          <w:rFonts w:eastAsia="Calibri"/>
          <w:lang w:eastAsia="en-US"/>
        </w:rPr>
        <w:t xml:space="preserve"> писмената процедура е получено от г-н Арбен Мименов, кмет на община Сатовча, който няма забележки по приложените материали.</w:t>
      </w:r>
    </w:p>
    <w:p w:rsidR="00A92939" w:rsidRPr="00A92939" w:rsidRDefault="00A92939" w:rsidP="00A92939">
      <w:pPr>
        <w:spacing w:after="120" w:line="276" w:lineRule="auto"/>
        <w:ind w:left="708"/>
        <w:jc w:val="both"/>
        <w:rPr>
          <w:rFonts w:eastAsia="Calibri"/>
          <w:lang w:eastAsia="en-US"/>
        </w:rPr>
      </w:pPr>
      <w:r w:rsidRPr="00A92939">
        <w:rPr>
          <w:rFonts w:eastAsia="Calibri"/>
          <w:lang w:eastAsia="en-US"/>
        </w:rPr>
        <w:t xml:space="preserve">По точка 1 от съгласувателната процедура становища и коментари са получени  от:  г-н Ангел Сираков, дирекция „Централно координационно звено“, МС; Асоциация на земеделските производители в България; г-жа Весела Данева, дирекция "Държавни помощи и реален сектор", Министерство на финансите, г-н Румен Андреев, Асоциация на индустриалното свиневъдство. </w:t>
      </w:r>
    </w:p>
    <w:p w:rsidR="00A92939" w:rsidRPr="00A92939" w:rsidRDefault="00A92939" w:rsidP="00A92939">
      <w:pPr>
        <w:spacing w:after="120" w:line="276" w:lineRule="auto"/>
        <w:ind w:left="708"/>
        <w:jc w:val="both"/>
        <w:rPr>
          <w:rFonts w:eastAsia="Calibri"/>
          <w:lang w:eastAsia="en-US"/>
        </w:rPr>
      </w:pPr>
      <w:r w:rsidRPr="00A92939">
        <w:rPr>
          <w:rFonts w:eastAsia="Calibri"/>
          <w:lang w:eastAsia="en-US"/>
        </w:rPr>
        <w:t>По точка 2 и 3 от съгласувателната процедура коментари са получени от: г-жа Весела Данева, дирекция "Държавни помощи и реален сектор", Министерство на финансите.</w:t>
      </w:r>
    </w:p>
    <w:p w:rsidR="00A92939" w:rsidRPr="00A92939" w:rsidRDefault="00A92939" w:rsidP="00A92939">
      <w:pPr>
        <w:spacing w:after="120" w:line="276" w:lineRule="auto"/>
        <w:ind w:left="708"/>
        <w:jc w:val="both"/>
        <w:rPr>
          <w:rFonts w:eastAsia="Calibri"/>
          <w:lang w:eastAsia="en-US"/>
        </w:rPr>
      </w:pPr>
      <w:r w:rsidRPr="00A92939">
        <w:rPr>
          <w:rFonts w:eastAsia="Calibri"/>
          <w:lang w:eastAsia="en-US"/>
        </w:rPr>
        <w:t>Коментарите и тяхното отразяване са дадени в приложение 1 „Справка за отразяване на становищата“.</w:t>
      </w:r>
    </w:p>
    <w:p w:rsidR="00A92939" w:rsidRPr="00A92939" w:rsidRDefault="00A92939" w:rsidP="00A92939">
      <w:pPr>
        <w:spacing w:after="120" w:line="276" w:lineRule="auto"/>
        <w:ind w:left="708"/>
        <w:jc w:val="both"/>
        <w:rPr>
          <w:rFonts w:eastAsia="Calibri"/>
          <w:lang w:eastAsia="en-US"/>
        </w:rPr>
      </w:pPr>
      <w:r w:rsidRPr="00A92939">
        <w:rPr>
          <w:rFonts w:eastAsia="Calibri"/>
          <w:lang w:eastAsia="en-US"/>
        </w:rPr>
        <w:t xml:space="preserve">На основание горното и в съответствие с чл. 22, ал 2  от Вътрешните  правила за работа на КН на ПРСР </w:t>
      </w:r>
      <w:r w:rsidR="00F0703C">
        <w:rPr>
          <w:rFonts w:eastAsia="Calibri"/>
          <w:lang w:eastAsia="en-US"/>
        </w:rPr>
        <w:t>(</w:t>
      </w:r>
      <w:r w:rsidRPr="00A92939">
        <w:rPr>
          <w:rFonts w:eastAsia="Calibri"/>
          <w:lang w:eastAsia="en-US"/>
        </w:rPr>
        <w:t>2014-20</w:t>
      </w:r>
      <w:r w:rsidR="00F0703C">
        <w:rPr>
          <w:rFonts w:eastAsia="Calibri"/>
          <w:lang w:eastAsia="en-US"/>
        </w:rPr>
        <w:t>20)</w:t>
      </w:r>
      <w:r w:rsidRPr="00A92939">
        <w:rPr>
          <w:rFonts w:eastAsia="Calibri"/>
          <w:lang w:eastAsia="en-US"/>
        </w:rPr>
        <w:t xml:space="preserve">., като резултат от проведената писмена процедура  КН взе следните РЕШЕНИЯ: </w:t>
      </w:r>
    </w:p>
    <w:p w:rsidR="00A92939" w:rsidRPr="00A92939" w:rsidRDefault="00A92939" w:rsidP="00A92939">
      <w:pPr>
        <w:spacing w:after="120" w:line="276" w:lineRule="auto"/>
        <w:ind w:left="708"/>
        <w:jc w:val="both"/>
        <w:rPr>
          <w:rFonts w:eastAsia="Calibri"/>
          <w:lang w:eastAsia="en-US"/>
        </w:rPr>
      </w:pPr>
      <w:r w:rsidRPr="00A92939">
        <w:rPr>
          <w:rFonts w:eastAsia="Calibri"/>
          <w:u w:val="single"/>
          <w:lang w:eastAsia="en-US"/>
        </w:rPr>
        <w:t>Решение по т. 1:</w:t>
      </w:r>
      <w:r w:rsidRPr="00A92939">
        <w:rPr>
          <w:rFonts w:eastAsia="Calibri"/>
          <w:lang w:eastAsia="en-US"/>
        </w:rPr>
        <w:t xml:space="preserve"> </w:t>
      </w:r>
      <w:r w:rsidRPr="00A92939">
        <w:rPr>
          <w:rFonts w:eastAsia="Calibri"/>
          <w:i/>
          <w:lang w:eastAsia="en-US"/>
        </w:rPr>
        <w:t xml:space="preserve">Комитетът по наблюдение на ПРСР (2014-2020) съгласува  актуализираната Индикативна годишна работна програма на ПРСР (2014-2020) за 2020 година. </w:t>
      </w:r>
      <w:r w:rsidRPr="00A92939">
        <w:rPr>
          <w:rFonts w:eastAsia="Calibri"/>
          <w:lang w:eastAsia="en-US"/>
        </w:rPr>
        <w:t>Приложение 2.</w:t>
      </w:r>
    </w:p>
    <w:p w:rsidR="00A92939" w:rsidRPr="00A92939" w:rsidRDefault="00A92939" w:rsidP="00A92939">
      <w:pPr>
        <w:spacing w:after="120" w:line="276" w:lineRule="auto"/>
        <w:ind w:left="708"/>
        <w:jc w:val="both"/>
        <w:rPr>
          <w:rFonts w:eastAsia="Calibri"/>
          <w:lang w:eastAsia="en-US"/>
        </w:rPr>
      </w:pPr>
      <w:r w:rsidRPr="00A92939">
        <w:rPr>
          <w:rFonts w:eastAsia="Calibri"/>
          <w:u w:val="single"/>
          <w:lang w:eastAsia="en-US"/>
        </w:rPr>
        <w:t>Решение по т. 2:</w:t>
      </w:r>
      <w:r w:rsidRPr="00A92939">
        <w:rPr>
          <w:rFonts w:eastAsia="Calibri"/>
          <w:lang w:eastAsia="en-US"/>
        </w:rPr>
        <w:tab/>
      </w:r>
      <w:r w:rsidRPr="00A92939">
        <w:rPr>
          <w:rFonts w:eastAsia="Calibri"/>
          <w:i/>
          <w:lang w:eastAsia="en-US"/>
        </w:rPr>
        <w:t>Комитетът по</w:t>
      </w:r>
      <w:r w:rsidR="00F0703C">
        <w:rPr>
          <w:rFonts w:eastAsia="Calibri"/>
          <w:i/>
          <w:lang w:eastAsia="en-US"/>
        </w:rPr>
        <w:t xml:space="preserve"> наблюдение на ПРСР (2014-2020)</w:t>
      </w:r>
      <w:r w:rsidRPr="00A92939">
        <w:rPr>
          <w:rFonts w:eastAsia="Calibri"/>
          <w:i/>
          <w:lang w:eastAsia="en-US"/>
        </w:rPr>
        <w:t xml:space="preserve"> одобрява предложението на Управляващия орган на ПРСР (2014-2020) за критерии за подбор на проектни предложения по подмярка 16.4 „Подкрепа за хоризонтално и вертикално сътрудничество между участниците във веригата на доставки“ от мярка 16 „Сътр</w:t>
      </w:r>
      <w:r w:rsidR="00F0703C">
        <w:rPr>
          <w:rFonts w:eastAsia="Calibri"/>
          <w:i/>
          <w:lang w:eastAsia="en-US"/>
        </w:rPr>
        <w:t>удничество“ на ПРСР (2014-2020)</w:t>
      </w:r>
      <w:r w:rsidRPr="00A92939">
        <w:rPr>
          <w:rFonts w:eastAsia="Calibri"/>
          <w:i/>
          <w:lang w:eastAsia="en-US"/>
        </w:rPr>
        <w:t xml:space="preserve">. </w:t>
      </w:r>
      <w:r w:rsidRPr="00A92939">
        <w:rPr>
          <w:rFonts w:eastAsia="Calibri"/>
          <w:lang w:eastAsia="en-US"/>
        </w:rPr>
        <w:t>Приложение 3.</w:t>
      </w:r>
    </w:p>
    <w:p w:rsidR="00A92939" w:rsidRDefault="00A92939" w:rsidP="00A92939">
      <w:pPr>
        <w:spacing w:after="120" w:line="276" w:lineRule="auto"/>
        <w:ind w:left="708"/>
        <w:jc w:val="both"/>
        <w:rPr>
          <w:rFonts w:eastAsia="Calibri"/>
          <w:lang w:eastAsia="en-US"/>
        </w:rPr>
      </w:pPr>
      <w:r w:rsidRPr="00A92939">
        <w:rPr>
          <w:rFonts w:eastAsia="Calibri"/>
          <w:u w:val="single"/>
          <w:lang w:eastAsia="en-US"/>
        </w:rPr>
        <w:lastRenderedPageBreak/>
        <w:t>Решение по т. 3:</w:t>
      </w:r>
      <w:r w:rsidRPr="00194641">
        <w:rPr>
          <w:rFonts w:ascii="Calibri" w:eastAsia="Calibri" w:hAnsi="Calibri"/>
          <w:sz w:val="22"/>
          <w:szCs w:val="22"/>
          <w:lang w:eastAsia="en-US"/>
        </w:rPr>
        <w:t xml:space="preserve"> </w:t>
      </w:r>
      <w:r w:rsidRPr="00A92939">
        <w:rPr>
          <w:rFonts w:eastAsia="Calibri"/>
          <w:i/>
          <w:lang w:eastAsia="en-US"/>
        </w:rPr>
        <w:t>Комитетът за</w:t>
      </w:r>
      <w:r w:rsidR="00F0703C">
        <w:rPr>
          <w:rFonts w:eastAsia="Calibri"/>
          <w:i/>
          <w:lang w:eastAsia="en-US"/>
        </w:rPr>
        <w:t xml:space="preserve"> наблюдение на (ПРСР 2014-2020)</w:t>
      </w:r>
      <w:r w:rsidRPr="00A92939">
        <w:rPr>
          <w:rFonts w:eastAsia="Calibri"/>
          <w:i/>
          <w:lang w:eastAsia="en-US"/>
        </w:rPr>
        <w:t xml:space="preserve"> одобрява предлож</w:t>
      </w:r>
      <w:r w:rsidR="00F0703C">
        <w:rPr>
          <w:rFonts w:eastAsia="Calibri"/>
          <w:i/>
          <w:lang w:eastAsia="en-US"/>
        </w:rPr>
        <w:t>ението на УО на ПРСР (2014-2020)</w:t>
      </w:r>
      <w:r w:rsidRPr="00A92939">
        <w:rPr>
          <w:rFonts w:eastAsia="Calibri"/>
          <w:i/>
          <w:lang w:eastAsia="en-US"/>
        </w:rPr>
        <w:t>. за критерии за подбор на проектни предложения по подмярка 2.2 „Създаване на консултантски услуги“ от мярка 2 „Консултантски услуги, услуги по управление на стопанство и услуги по заместване в стопанство“ от Програма за ра</w:t>
      </w:r>
      <w:r w:rsidR="00F0703C">
        <w:rPr>
          <w:rFonts w:eastAsia="Calibri"/>
          <w:i/>
          <w:lang w:eastAsia="en-US"/>
        </w:rPr>
        <w:t xml:space="preserve">звитие на селските райони </w:t>
      </w:r>
      <w:r w:rsidRPr="00A92939">
        <w:rPr>
          <w:rFonts w:eastAsia="Calibri"/>
          <w:i/>
          <w:lang w:eastAsia="en-US"/>
        </w:rPr>
        <w:t xml:space="preserve"> 2014-2020 г. </w:t>
      </w:r>
      <w:r w:rsidRPr="00A92939">
        <w:rPr>
          <w:rFonts w:eastAsia="Calibri"/>
          <w:lang w:eastAsia="en-US"/>
        </w:rPr>
        <w:t>Приложение 4.</w:t>
      </w:r>
    </w:p>
    <w:p w:rsidR="008A60F1" w:rsidRPr="00A92939" w:rsidRDefault="008A60F1" w:rsidP="00A92939">
      <w:pPr>
        <w:spacing w:after="120" w:line="276" w:lineRule="auto"/>
        <w:ind w:left="708"/>
        <w:jc w:val="both"/>
        <w:rPr>
          <w:rFonts w:eastAsia="Calibri"/>
          <w:lang w:eastAsia="en-US"/>
        </w:rPr>
      </w:pPr>
    </w:p>
    <w:p w:rsidR="00A92939" w:rsidRPr="00A92939" w:rsidRDefault="00A92939" w:rsidP="00A92939">
      <w:pPr>
        <w:spacing w:after="120" w:line="276" w:lineRule="auto"/>
        <w:ind w:left="708"/>
        <w:jc w:val="right"/>
      </w:pPr>
      <w:r w:rsidRPr="00A92939">
        <w:t>Приложение 1.</w:t>
      </w:r>
    </w:p>
    <w:p w:rsidR="00A92939" w:rsidRPr="00A92939" w:rsidRDefault="00A92939" w:rsidP="00A92939">
      <w:pPr>
        <w:jc w:val="right"/>
        <w:rPr>
          <w:b/>
        </w:rPr>
      </w:pPr>
    </w:p>
    <w:p w:rsidR="00D82D25" w:rsidRDefault="00A92939" w:rsidP="00A92939">
      <w:pPr>
        <w:jc w:val="center"/>
        <w:rPr>
          <w:b/>
        </w:rPr>
      </w:pPr>
      <w:r w:rsidRPr="00A92939">
        <w:rPr>
          <w:b/>
        </w:rPr>
        <w:t>Справка за отразяване на становищата от участниците в работата на КН на ПРСР 2014</w:t>
      </w:r>
      <w:r w:rsidR="00D17B73" w:rsidRPr="00D17B73">
        <w:rPr>
          <w:b/>
        </w:rPr>
        <w:t>-</w:t>
      </w:r>
      <w:r w:rsidRPr="00A92939">
        <w:rPr>
          <w:b/>
        </w:rPr>
        <w:t>2020 г. по писмената неприсъствена процедура,</w:t>
      </w:r>
    </w:p>
    <w:p w:rsidR="00A92939" w:rsidRPr="00D82D25" w:rsidRDefault="00A92939" w:rsidP="00D82D25">
      <w:pPr>
        <w:jc w:val="center"/>
        <w:rPr>
          <w:b/>
        </w:rPr>
      </w:pPr>
      <w:r w:rsidRPr="00A92939">
        <w:rPr>
          <w:b/>
        </w:rPr>
        <w:t xml:space="preserve"> състояла се в периода</w:t>
      </w:r>
      <w:r w:rsidR="00D82D25">
        <w:rPr>
          <w:b/>
        </w:rPr>
        <w:t xml:space="preserve"> </w:t>
      </w:r>
      <w:r w:rsidRPr="00A92939">
        <w:rPr>
          <w:b/>
        </w:rPr>
        <w:t>08 – 16.10.2020</w:t>
      </w:r>
      <w:r w:rsidRPr="00194641">
        <w:rPr>
          <w:b/>
        </w:rPr>
        <w:t xml:space="preserve"> г.</w:t>
      </w:r>
    </w:p>
    <w:tbl>
      <w:tblPr>
        <w:tblW w:w="150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0"/>
        <w:gridCol w:w="6237"/>
      </w:tblGrid>
      <w:tr w:rsidR="00A92939" w:rsidRPr="00A92939" w:rsidTr="00861DA4">
        <w:tc>
          <w:tcPr>
            <w:tcW w:w="2268" w:type="dxa"/>
            <w:vAlign w:val="center"/>
          </w:tcPr>
          <w:p w:rsidR="00A92939" w:rsidRPr="00A92939" w:rsidRDefault="00A92939" w:rsidP="00A92939">
            <w:pPr>
              <w:jc w:val="center"/>
              <w:rPr>
                <w:b/>
              </w:rPr>
            </w:pPr>
          </w:p>
          <w:p w:rsidR="00A92939" w:rsidRPr="00A92939" w:rsidRDefault="00A92939" w:rsidP="00A92939">
            <w:pPr>
              <w:jc w:val="center"/>
              <w:rPr>
                <w:b/>
              </w:rPr>
            </w:pPr>
            <w:r w:rsidRPr="00A92939">
              <w:rPr>
                <w:b/>
              </w:rPr>
              <w:t>Изпратено от</w:t>
            </w:r>
          </w:p>
          <w:p w:rsidR="00A92939" w:rsidRPr="00A92939" w:rsidRDefault="00A92939" w:rsidP="00A92939">
            <w:pPr>
              <w:jc w:val="center"/>
              <w:rPr>
                <w:b/>
              </w:rPr>
            </w:pPr>
          </w:p>
        </w:tc>
        <w:tc>
          <w:tcPr>
            <w:tcW w:w="6520" w:type="dxa"/>
            <w:vAlign w:val="center"/>
          </w:tcPr>
          <w:p w:rsidR="00A92939" w:rsidRPr="00A92939" w:rsidRDefault="00A92939" w:rsidP="00A92939">
            <w:pPr>
              <w:jc w:val="center"/>
              <w:rPr>
                <w:b/>
              </w:rPr>
            </w:pPr>
            <w:r w:rsidRPr="00A92939">
              <w:rPr>
                <w:b/>
              </w:rPr>
              <w:t>Становище, коментар, препоръка</w:t>
            </w:r>
          </w:p>
        </w:tc>
        <w:tc>
          <w:tcPr>
            <w:tcW w:w="6237" w:type="dxa"/>
            <w:vAlign w:val="center"/>
          </w:tcPr>
          <w:p w:rsidR="00A92939" w:rsidRPr="00A92939" w:rsidRDefault="00A92939" w:rsidP="00A92939">
            <w:pPr>
              <w:rPr>
                <w:b/>
              </w:rPr>
            </w:pPr>
            <w:r w:rsidRPr="00A92939">
              <w:rPr>
                <w:b/>
              </w:rPr>
              <w:t>Отразяване на становището</w:t>
            </w:r>
          </w:p>
        </w:tc>
      </w:tr>
      <w:tr w:rsidR="00A92939" w:rsidRPr="00A92939" w:rsidTr="00A92939">
        <w:tc>
          <w:tcPr>
            <w:tcW w:w="15025" w:type="dxa"/>
            <w:gridSpan w:val="3"/>
            <w:vAlign w:val="center"/>
          </w:tcPr>
          <w:p w:rsidR="00A92939" w:rsidRPr="00A92939" w:rsidRDefault="00A92939" w:rsidP="00A92939">
            <w:pPr>
              <w:tabs>
                <w:tab w:val="left" w:pos="0"/>
              </w:tabs>
              <w:spacing w:after="200" w:line="276" w:lineRule="auto"/>
              <w:ind w:firstLine="709"/>
              <w:jc w:val="both"/>
              <w:rPr>
                <w:bCs/>
                <w:lang w:eastAsia="en-US"/>
              </w:rPr>
            </w:pPr>
            <w:r w:rsidRPr="00A92939">
              <w:rPr>
                <w:bCs/>
                <w:lang w:eastAsia="en-US"/>
              </w:rPr>
              <w:t>1. Предложение на УО на ПРСР 2014-2020 г. за актуализиране на Индикативната годишна работна програма (ИГРП) на ПРСР за 2020 година</w:t>
            </w:r>
          </w:p>
        </w:tc>
      </w:tr>
      <w:tr w:rsidR="00A92939" w:rsidRPr="00A92939" w:rsidTr="00861DA4">
        <w:tc>
          <w:tcPr>
            <w:tcW w:w="2268" w:type="dxa"/>
            <w:vAlign w:val="center"/>
          </w:tcPr>
          <w:p w:rsidR="00A92939" w:rsidRPr="00A92939" w:rsidRDefault="00A92939" w:rsidP="00A92939">
            <w:pPr>
              <w:rPr>
                <w:sz w:val="22"/>
                <w:szCs w:val="22"/>
              </w:rPr>
            </w:pPr>
            <w:r w:rsidRPr="00A92939">
              <w:rPr>
                <w:sz w:val="22"/>
                <w:szCs w:val="22"/>
              </w:rPr>
              <w:t>Ангел Сираков</w:t>
            </w:r>
          </w:p>
          <w:p w:rsidR="00A92939" w:rsidRPr="00A92939" w:rsidRDefault="00A92939" w:rsidP="00A92939">
            <w:pPr>
              <w:rPr>
                <w:sz w:val="22"/>
                <w:szCs w:val="22"/>
              </w:rPr>
            </w:pPr>
            <w:r w:rsidRPr="00A92939">
              <w:rPr>
                <w:sz w:val="22"/>
                <w:szCs w:val="22"/>
              </w:rPr>
              <w:t xml:space="preserve">дирекция „Централно координационно звено“, </w:t>
            </w:r>
          </w:p>
          <w:p w:rsidR="00A92939" w:rsidRPr="00A92939" w:rsidRDefault="00A92939" w:rsidP="00A92939">
            <w:pPr>
              <w:rPr>
                <w:sz w:val="22"/>
                <w:szCs w:val="22"/>
                <w:highlight w:val="yellow"/>
              </w:rPr>
            </w:pPr>
            <w:r w:rsidRPr="00A92939">
              <w:rPr>
                <w:sz w:val="22"/>
                <w:szCs w:val="22"/>
              </w:rPr>
              <w:t>Администрация на Министерския съвет</w:t>
            </w:r>
          </w:p>
        </w:tc>
        <w:tc>
          <w:tcPr>
            <w:tcW w:w="6520" w:type="dxa"/>
            <w:vAlign w:val="center"/>
          </w:tcPr>
          <w:p w:rsidR="00A92939" w:rsidRPr="00A92939" w:rsidRDefault="00A92939" w:rsidP="00A92939">
            <w:pPr>
              <w:jc w:val="both"/>
              <w:rPr>
                <w:rFonts w:eastAsia="Calibri"/>
                <w:lang w:eastAsia="en-US"/>
              </w:rPr>
            </w:pPr>
            <w:r w:rsidRPr="00A92939">
              <w:rPr>
                <w:rFonts w:eastAsia="Calibri"/>
                <w:lang w:eastAsia="en-US"/>
              </w:rPr>
              <w:t xml:space="preserve">Във връзка с предложената актуализация на приема по </w:t>
            </w:r>
            <w:r w:rsidRPr="00A92939">
              <w:rPr>
                <w:rFonts w:eastAsia="Calibri"/>
                <w:bCs/>
                <w:lang w:eastAsia="en-US"/>
              </w:rPr>
              <w:t>подмярка 7.3 „Широколентова инфраструктура, включително нейното създаване, подобрение и разширение”</w:t>
            </w:r>
            <w:r w:rsidRPr="00A92939">
              <w:rPr>
                <w:rFonts w:eastAsia="Calibri"/>
                <w:b/>
                <w:bCs/>
                <w:lang w:eastAsia="en-US"/>
              </w:rPr>
              <w:t xml:space="preserve">, </w:t>
            </w:r>
            <w:r w:rsidRPr="00A92939">
              <w:rPr>
                <w:rFonts w:eastAsia="Calibri"/>
                <w:lang w:eastAsia="en-US"/>
              </w:rPr>
              <w:t xml:space="preserve">моля да се има предвид, че съгласно чл. 26, ал.3 от ЗУСЕСИФ преди внасянето им за утвърждаване насоките за кандидатстване по подмярката трябва да са съгласувани за съответствие с приложимите правила за държавни помощи с министъра на финансите. </w:t>
            </w:r>
          </w:p>
        </w:tc>
        <w:tc>
          <w:tcPr>
            <w:tcW w:w="6237" w:type="dxa"/>
            <w:vAlign w:val="center"/>
          </w:tcPr>
          <w:p w:rsidR="005C0771" w:rsidRDefault="005C0771" w:rsidP="005C0771">
            <w:pPr>
              <w:jc w:val="both"/>
            </w:pPr>
            <w:r>
              <w:t>Приема се.</w:t>
            </w:r>
          </w:p>
          <w:p w:rsidR="00A92939" w:rsidRPr="00A92939" w:rsidRDefault="005C0771" w:rsidP="005C0771">
            <w:pPr>
              <w:jc w:val="both"/>
              <w:rPr>
                <w:highlight w:val="yellow"/>
              </w:rPr>
            </w:pPr>
            <w:r>
              <w:t xml:space="preserve">Преди внасянето им за утвърждаване, насоките по Подмярка 7.3 „Широколентова инфраструктура, включително нейното създаване, подобрение и разширение” ще бъдат изпратени до  министъра на финансите за съгласуване за съответствие с приложимите правила за държавни помощи. </w:t>
            </w:r>
          </w:p>
        </w:tc>
      </w:tr>
      <w:tr w:rsidR="00A92939" w:rsidRPr="00A92939" w:rsidTr="00861DA4">
        <w:tc>
          <w:tcPr>
            <w:tcW w:w="2268" w:type="dxa"/>
            <w:vAlign w:val="center"/>
          </w:tcPr>
          <w:p w:rsidR="00A92939" w:rsidRPr="00A92939" w:rsidRDefault="00A92939" w:rsidP="00A92939">
            <w:pPr>
              <w:rPr>
                <w:sz w:val="22"/>
                <w:szCs w:val="22"/>
              </w:rPr>
            </w:pPr>
            <w:r w:rsidRPr="00A92939">
              <w:rPr>
                <w:sz w:val="22"/>
                <w:szCs w:val="22"/>
              </w:rPr>
              <w:t>Асоциация на земеделските производители в България</w:t>
            </w:r>
          </w:p>
        </w:tc>
        <w:tc>
          <w:tcPr>
            <w:tcW w:w="6520" w:type="dxa"/>
            <w:vAlign w:val="center"/>
          </w:tcPr>
          <w:p w:rsidR="00A92939" w:rsidRPr="00A92939" w:rsidRDefault="00A92939" w:rsidP="00A92939">
            <w:pPr>
              <w:jc w:val="both"/>
            </w:pPr>
            <w:r w:rsidRPr="00A92939">
              <w:t>Установено разминаване в текста на подмярка 1.2 „Демонстрационни дейности и действия по осведомяване“ в ПРСР 2014-2020 и посоченият в проекта на актуализирана ИГРП за 2020 година максимален размер на допустимите разходи за проект. В ИГРП е посочен таван от 100 хил. евро на допустимите разходи за 1 проект, а в подмярка 1.2 в ПРСР 2014-2020 таван с този размер е определен само за допустимите инвестициите в даден проект.</w:t>
            </w:r>
          </w:p>
        </w:tc>
        <w:tc>
          <w:tcPr>
            <w:tcW w:w="6237" w:type="dxa"/>
            <w:vAlign w:val="center"/>
          </w:tcPr>
          <w:p w:rsidR="00A92939" w:rsidRDefault="00995AD9" w:rsidP="00A92939">
            <w:pPr>
              <w:jc w:val="both"/>
            </w:pPr>
            <w:r>
              <w:t>Приема се. Текстът е прецизиран.</w:t>
            </w:r>
          </w:p>
          <w:p w:rsidR="005C0771" w:rsidRPr="00A92939" w:rsidRDefault="005C0771" w:rsidP="005C0771">
            <w:pPr>
              <w:jc w:val="both"/>
            </w:pPr>
          </w:p>
        </w:tc>
      </w:tr>
      <w:tr w:rsidR="00A92939" w:rsidRPr="00A92939" w:rsidTr="00861DA4">
        <w:tc>
          <w:tcPr>
            <w:tcW w:w="2268" w:type="dxa"/>
            <w:vAlign w:val="center"/>
          </w:tcPr>
          <w:p w:rsidR="00A92939" w:rsidRPr="00A92939" w:rsidRDefault="00A92939" w:rsidP="00A92939">
            <w:pPr>
              <w:spacing w:after="200" w:line="276" w:lineRule="auto"/>
              <w:rPr>
                <w:sz w:val="22"/>
                <w:szCs w:val="22"/>
              </w:rPr>
            </w:pPr>
            <w:r w:rsidRPr="00A92939">
              <w:rPr>
                <w:sz w:val="22"/>
                <w:szCs w:val="22"/>
              </w:rPr>
              <w:t xml:space="preserve">Весела Данева - директор на </w:t>
            </w:r>
            <w:r w:rsidRPr="00A92939">
              <w:rPr>
                <w:sz w:val="22"/>
                <w:szCs w:val="22"/>
              </w:rPr>
              <w:lastRenderedPageBreak/>
              <w:t>дирекция "Държавни помощи и реален сектор", Министерство на финансите</w:t>
            </w:r>
          </w:p>
          <w:p w:rsidR="00A92939" w:rsidRPr="00A92939" w:rsidRDefault="00A92939" w:rsidP="00A92939">
            <w:pPr>
              <w:rPr>
                <w:sz w:val="22"/>
                <w:szCs w:val="22"/>
              </w:rPr>
            </w:pPr>
          </w:p>
        </w:tc>
        <w:tc>
          <w:tcPr>
            <w:tcW w:w="6520" w:type="dxa"/>
            <w:vAlign w:val="center"/>
          </w:tcPr>
          <w:p w:rsidR="00A92939" w:rsidRPr="00A92939" w:rsidRDefault="00A92939" w:rsidP="00A92939">
            <w:pPr>
              <w:jc w:val="both"/>
            </w:pPr>
            <w:r w:rsidRPr="00A92939">
              <w:lastRenderedPageBreak/>
              <w:t xml:space="preserve">По т. 2 от ИГРП 2020, за подмярка 2.2 „Създаване на консултантски услуги“ от мярка 2 „Консултантски услуги, </w:t>
            </w:r>
            <w:r w:rsidRPr="00A92939">
              <w:lastRenderedPageBreak/>
              <w:t>услуги по управление на стопанство и услуги по заместване в стопанство“ е посочено, че процедурата/или част от нея не представлява държавна или минимална помощ.</w:t>
            </w:r>
          </w:p>
          <w:p w:rsidR="00A92939" w:rsidRPr="00A92939" w:rsidRDefault="00A92939" w:rsidP="00A92939">
            <w:pPr>
              <w:jc w:val="both"/>
            </w:pPr>
            <w:r w:rsidRPr="00A92939">
              <w:t>Съгласно т. 13.2 от одобрената ПРСР 2014-2020 г., подпомагането по М02-  „Консултантски услуги, услуги по управление на стопанство и услуги по заместване в стопанство“ ще се предоставя в съответствие част II, раздел 3.6 от Насоки на Европейския съюз за държавната помощ в секторите на селското и горското стопанство и в селските райони за периода 2014-2020 г. (2014/C 204/01). Предвид изложеното, и тъй като не разполагаме с информация за нотификация на схемата за държавна помощ, считаме че УО следва да обоснове несъответстието на посоченото в ИГРП с информацията, изложена в одобрената Програма.</w:t>
            </w:r>
          </w:p>
          <w:p w:rsidR="00A92939" w:rsidRPr="00A92939" w:rsidRDefault="00A92939" w:rsidP="00A92939">
            <w:pPr>
              <w:jc w:val="both"/>
            </w:pPr>
            <w:r w:rsidRPr="00A92939">
              <w:t>В графата за максимален % на съфинансиране е посочено, че той ще бъде „80%-100%“. Предлагаме, с цел яснота за потенциалните бенефициенти, документът да се допълни с разясняваща информация в забележка под таблицата.</w:t>
            </w:r>
          </w:p>
          <w:p w:rsidR="00A92939" w:rsidRPr="00A92939" w:rsidRDefault="00A92939" w:rsidP="00A92939">
            <w:pPr>
              <w:jc w:val="both"/>
            </w:pPr>
            <w:r w:rsidRPr="00A92939">
              <w:t>В т.12 от ИГРП 2020, по Подмярка 7.6 „Проучване и инвестиции, свързани с поддържане, възстановяване на културното и природното наследство на селата“, в графата „Представлява ли процедурата/или част от нея държавна помощ“, е записано, че предстои да се уточни. При положение, че процедурата е била отворена през м.юли-септември, според нас към момента на писмената процедура, това  би трябвало вече да е уточнено и да се посочи в ИГРП за 2020 г. Предлагаме информацията да се актуализира.</w:t>
            </w:r>
          </w:p>
          <w:p w:rsidR="00A92939" w:rsidRPr="00A92939" w:rsidRDefault="00A92939" w:rsidP="00A92939">
            <w:pPr>
              <w:jc w:val="both"/>
            </w:pPr>
            <w:r w:rsidRPr="00A92939">
              <w:t xml:space="preserve">В т.15 и т.16 от ИГРП 2020 г. са посочени две процедури по една и съща подмярка -16.4 „Подкрепа за хоризонтално и вертикално сътрудничество между участниците във веригата на доставки“, като едната е за периода юли-септември 2020, а другата - за октомври-ноември 2020 г. За първата е посочено, че представлява държавна помощ, а за втората се посочва, че не представлява държавна/минимална помощ. </w:t>
            </w:r>
            <w:r w:rsidRPr="00A92939">
              <w:lastRenderedPageBreak/>
              <w:t>Съгласно ПРСР 2014-2020 г., т. 8.2.14.3.2.8. и т. 13.21 подпомагането по схемата  ще се предоставя в съответствие с част II, раздел 3.10. от Насоки на Европейския съюз за държавната помощ в секторите на селското  и горското стопанство и в селските райони за периода  2014-2020 г. (2014/C 204/01). Освен това в т. 8.2.14.3.2.8. от Програмата е записано, че максимално допустимият размер на помощта за периода на прилагане на програмата е 500 000 евро и ще бъде в съответствие с нотифицирана държавна помощ.</w:t>
            </w:r>
          </w:p>
          <w:p w:rsidR="00A92939" w:rsidRPr="00A92939" w:rsidRDefault="00A92939" w:rsidP="00A92939">
            <w:pPr>
              <w:jc w:val="both"/>
            </w:pPr>
            <w:r w:rsidRPr="00A92939">
              <w:t>Тъй като не разполагаме с информация за нотификацията на държавната помощ по схемата,  предлагаме да се прецени необходимостта от прецизиране на относимия текст, с цел недопускане на предоставяне на неправомерна/несъвместима държавна помощ, и с цел предоставяне на ясна и непротиворечива информация за потенциалните бенефициенти и органите, осъществяващи контрол и мониторинг на програмата. Освен това, за нас не става ясно, какво налага промяна на режима по държавните помощи.</w:t>
            </w:r>
          </w:p>
          <w:p w:rsidR="00A92939" w:rsidRPr="00A92939" w:rsidRDefault="00A92939" w:rsidP="00A92939">
            <w:pPr>
              <w:jc w:val="both"/>
            </w:pPr>
            <w:r w:rsidRPr="00A92939">
              <w:t>Също така, прави впечатление, че за процедурата (октомври –ноември 2020) е посочен максимален % на съфинансиране 50%-70%, а за първата процедура той е бил 50%. Размерът на допустимите разходи за проект  (последната колона), за първата процедура е бил „левовата равностойност на 200 000 евро“, а за втората процедура се посочва, че този размер предстои да бъде уточнен, като липсва информация за причината, която налага неговото изменение и изменението на максималния процент на съфинансиране по подмярката спрямо първата процедура, отворена през периода юли-септември 2020 г.</w:t>
            </w:r>
          </w:p>
        </w:tc>
        <w:tc>
          <w:tcPr>
            <w:tcW w:w="6237" w:type="dxa"/>
            <w:vAlign w:val="center"/>
          </w:tcPr>
          <w:p w:rsidR="00995AD9" w:rsidRPr="00995AD9" w:rsidRDefault="00995AD9" w:rsidP="00861DA4">
            <w:pPr>
              <w:jc w:val="both"/>
              <w:rPr>
                <w:b/>
              </w:rPr>
            </w:pPr>
            <w:r w:rsidRPr="00995AD9">
              <w:rPr>
                <w:b/>
              </w:rPr>
              <w:lastRenderedPageBreak/>
              <w:t>Подмярка 2.2 „Създаване на консултантски услуги“</w:t>
            </w:r>
          </w:p>
          <w:p w:rsidR="00995AD9" w:rsidRDefault="00995AD9" w:rsidP="00995AD9">
            <w:pPr>
              <w:jc w:val="both"/>
            </w:pPr>
          </w:p>
          <w:p w:rsidR="00995AD9" w:rsidRPr="00995AD9" w:rsidRDefault="00995AD9" w:rsidP="00995AD9">
            <w:pPr>
              <w:jc w:val="both"/>
            </w:pPr>
            <w:r w:rsidRPr="00995AD9">
              <w:lastRenderedPageBreak/>
              <w:t>По отношение на подмярка 2.2 „Създаване на консултантски услуги“ от мярка 2 „Консултантски услуги, услуги по управление на стопанство и услуги по заместване в стопанство“ от ПРСР 2014-2020 г. планираната процедура няма да</w:t>
            </w:r>
            <w:r w:rsidR="001058C9">
              <w:t xml:space="preserve"> включва като допустими разходи -</w:t>
            </w:r>
            <w:r w:rsidRPr="00995AD9">
              <w:t xml:space="preserve"> разходи за обучения на консултанти, каквато възможност е предвидена в ПРСР 2014-2020 г.</w:t>
            </w:r>
          </w:p>
          <w:p w:rsidR="00995AD9" w:rsidRPr="00995AD9" w:rsidRDefault="00995AD9" w:rsidP="00995AD9">
            <w:pPr>
              <w:jc w:val="both"/>
            </w:pPr>
            <w:r w:rsidRPr="00995AD9">
              <w:t>В тази връзка, планираната процедура не попада в обхвата на държавна</w:t>
            </w:r>
            <w:r w:rsidR="001058C9">
              <w:t>та</w:t>
            </w:r>
            <w:r w:rsidRPr="00995AD9">
              <w:t xml:space="preserve"> помощ, предвидена в т. 13.2 от Раздел </w:t>
            </w:r>
            <w:bookmarkStart w:id="1" w:name="_Toc256000193"/>
            <w:r w:rsidRPr="00995AD9">
              <w:t>13 „Елементи, необходими за оценка на държавната помощ</w:t>
            </w:r>
            <w:bookmarkEnd w:id="1"/>
            <w:r w:rsidRPr="00995AD9">
              <w:t>“ на ПРСР 2014-2020 г., поради което в представената актуализирана ИГРП за 2020 г. в графа „Държавна помощ/Минимална помощ“ е посочено пояснение „Не“.</w:t>
            </w:r>
          </w:p>
          <w:p w:rsidR="00995AD9" w:rsidRPr="00995AD9" w:rsidRDefault="00995AD9" w:rsidP="00995AD9">
            <w:pPr>
              <w:jc w:val="both"/>
            </w:pPr>
          </w:p>
          <w:p w:rsidR="00995AD9" w:rsidRPr="00861DA4" w:rsidRDefault="00995AD9" w:rsidP="00995AD9">
            <w:pPr>
              <w:jc w:val="both"/>
              <w:rPr>
                <w:i/>
              </w:rPr>
            </w:pPr>
            <w:r w:rsidRPr="00995AD9">
              <w:t>По отношение на коментара, свързан с интензитета на помощта по подмярка 2.2 „Създаване на консултантски услуги“</w:t>
            </w:r>
            <w:r w:rsidR="00864DC8">
              <w:t>,</w:t>
            </w:r>
            <w:r w:rsidRPr="00995AD9">
              <w:t xml:space="preserve"> съгласно одобрения текст на подмярката, включен в ПРСР 2014-2020 година: </w:t>
            </w:r>
            <w:r w:rsidRPr="00861DA4">
              <w:rPr>
                <w:i/>
              </w:rPr>
              <w:t>Максимално допустимите разходи за създаване на консултантски услуги са намаляващи за максимален период от пет години от учредяването и се намаляват както следва за всяка една година:</w:t>
            </w:r>
          </w:p>
          <w:p w:rsidR="00995AD9" w:rsidRPr="00861DA4" w:rsidRDefault="00995AD9" w:rsidP="00995AD9">
            <w:pPr>
              <w:jc w:val="both"/>
              <w:rPr>
                <w:i/>
              </w:rPr>
            </w:pPr>
            <w:r w:rsidRPr="00861DA4">
              <w:rPr>
                <w:i/>
              </w:rPr>
              <w:t>1-ва година -100% от допустимите разходи по подмярката;</w:t>
            </w:r>
          </w:p>
          <w:p w:rsidR="00995AD9" w:rsidRPr="00861DA4" w:rsidRDefault="00995AD9" w:rsidP="00995AD9">
            <w:pPr>
              <w:jc w:val="both"/>
              <w:rPr>
                <w:i/>
              </w:rPr>
            </w:pPr>
            <w:r w:rsidRPr="00861DA4">
              <w:rPr>
                <w:i/>
              </w:rPr>
              <w:t>2-ра година - 95% от допустимите разходи по подмярката;</w:t>
            </w:r>
          </w:p>
          <w:p w:rsidR="00995AD9" w:rsidRPr="00861DA4" w:rsidRDefault="00995AD9" w:rsidP="00995AD9">
            <w:pPr>
              <w:jc w:val="both"/>
              <w:rPr>
                <w:i/>
              </w:rPr>
            </w:pPr>
            <w:r w:rsidRPr="00861DA4">
              <w:rPr>
                <w:i/>
              </w:rPr>
              <w:t>3-та година - 90% от допустимите разходи по подмярката;</w:t>
            </w:r>
          </w:p>
          <w:p w:rsidR="00995AD9" w:rsidRPr="00861DA4" w:rsidRDefault="00995AD9" w:rsidP="00995AD9">
            <w:pPr>
              <w:jc w:val="both"/>
              <w:rPr>
                <w:i/>
              </w:rPr>
            </w:pPr>
            <w:r w:rsidRPr="00861DA4">
              <w:rPr>
                <w:i/>
              </w:rPr>
              <w:t>4-та година - 85% от допустимите разходи по подмярката;</w:t>
            </w:r>
          </w:p>
          <w:p w:rsidR="00995AD9" w:rsidRDefault="00995AD9" w:rsidP="00995AD9">
            <w:pPr>
              <w:jc w:val="both"/>
              <w:rPr>
                <w:i/>
              </w:rPr>
            </w:pPr>
            <w:r w:rsidRPr="00861DA4">
              <w:rPr>
                <w:i/>
              </w:rPr>
              <w:t>5-та година - 80% от допустимите разходи по подмярката.</w:t>
            </w:r>
          </w:p>
          <w:p w:rsidR="009F10F6" w:rsidRPr="009F10F6" w:rsidRDefault="001058C9" w:rsidP="005C0771">
            <w:pPr>
              <w:jc w:val="both"/>
              <w:rPr>
                <w:i/>
              </w:rPr>
            </w:pPr>
            <w:r>
              <w:rPr>
                <w:i/>
              </w:rPr>
              <w:t xml:space="preserve">В тази връзка, предвид крайния срок за изпълнение на дейностите по одобрени проекти по мерки/подмерки от </w:t>
            </w:r>
            <w:r>
              <w:rPr>
                <w:i/>
              </w:rPr>
              <w:lastRenderedPageBreak/>
              <w:t xml:space="preserve">ПРСР </w:t>
            </w:r>
            <w:r w:rsidR="00864DC8">
              <w:rPr>
                <w:i/>
              </w:rPr>
              <w:t>2014-2020 г. е прецизиран текстът</w:t>
            </w:r>
            <w:r>
              <w:rPr>
                <w:i/>
              </w:rPr>
              <w:t xml:space="preserve"> в частта „Максимален процент на финансиране“.</w:t>
            </w:r>
          </w:p>
          <w:p w:rsidR="005C0771" w:rsidRDefault="005C0771" w:rsidP="005C0771">
            <w:pPr>
              <w:jc w:val="both"/>
            </w:pPr>
            <w:r>
              <w:t xml:space="preserve">По отношение на </w:t>
            </w:r>
            <w:r w:rsidRPr="009F10F6">
              <w:rPr>
                <w:b/>
              </w:rPr>
              <w:t>подмярка 7.6</w:t>
            </w:r>
            <w:r>
              <w:t xml:space="preserve"> бележката се приема.</w:t>
            </w:r>
          </w:p>
          <w:p w:rsidR="00995AD9" w:rsidRDefault="005C0771" w:rsidP="005C0771">
            <w:pPr>
              <w:jc w:val="both"/>
            </w:pPr>
            <w:r>
              <w:t>Посочена е актуална информация в колона „Представлява ли процедурата/част от нея: Държавна помощ“ в т. 12 от ИГРП 2020.</w:t>
            </w:r>
          </w:p>
          <w:p w:rsidR="00995AD9" w:rsidRPr="00995AD9" w:rsidRDefault="00995AD9" w:rsidP="00995AD9">
            <w:pPr>
              <w:jc w:val="both"/>
              <w:rPr>
                <w:b/>
              </w:rPr>
            </w:pPr>
            <w:r w:rsidRPr="00995AD9">
              <w:rPr>
                <w:b/>
              </w:rPr>
              <w:t xml:space="preserve">Подмярка 16.4 „Подкрепа за хоризонтално и вертикално сътрудничество между участниците във веригата на доставки“ от мярка 16 „Сътрудничество“ </w:t>
            </w:r>
          </w:p>
          <w:p w:rsidR="00995AD9" w:rsidRDefault="00995AD9" w:rsidP="00A92939">
            <w:pPr>
              <w:jc w:val="both"/>
            </w:pPr>
          </w:p>
          <w:p w:rsidR="00995AD9" w:rsidRPr="00995AD9" w:rsidRDefault="00995AD9" w:rsidP="00995AD9">
            <w:pPr>
              <w:jc w:val="both"/>
              <w:rPr>
                <w:lang w:eastAsia="en-US"/>
              </w:rPr>
            </w:pPr>
            <w:r w:rsidRPr="00995AD9">
              <w:t>В периода 13.07 – 14.09.2020 г. се проведе прием на проектни предложения по процедура</w:t>
            </w:r>
            <w:r w:rsidRPr="00995AD9">
              <w:rPr>
                <w:b/>
              </w:rPr>
              <w:t xml:space="preserve"> </w:t>
            </w:r>
            <w:r w:rsidRPr="00995AD9">
              <w:rPr>
                <w:lang w:eastAsia="en-US"/>
              </w:rPr>
              <w:t>подбор № BG06RDNP001-16.002 по подмярка 16.4 „Подкрепа за хоризонтално и вертикално сътрудничество между участниците във веригата на доставки“ от мярка 16 „Сътрудничество“ от ПРСР за периода 2014 - 2020 г.</w:t>
            </w:r>
          </w:p>
          <w:p w:rsidR="001058C9" w:rsidRDefault="00995AD9" w:rsidP="00995AD9">
            <w:pPr>
              <w:jc w:val="both"/>
              <w:rPr>
                <w:lang w:eastAsia="en-US"/>
              </w:rPr>
            </w:pPr>
            <w:r w:rsidRPr="00995AD9">
              <w:rPr>
                <w:lang w:eastAsia="en-US"/>
              </w:rPr>
              <w:t>Въз основа на утвърдената процедура със заповед на ръков</w:t>
            </w:r>
            <w:r w:rsidR="001629B4">
              <w:rPr>
                <w:lang w:eastAsia="en-US"/>
              </w:rPr>
              <w:t>од</w:t>
            </w:r>
            <w:r w:rsidRPr="00995AD9">
              <w:rPr>
                <w:lang w:eastAsia="en-US"/>
              </w:rPr>
              <w:t xml:space="preserve">ителя на УО на ПРСР 2014-2020 г. бе проведена комуникация със службите на Европейската комисия с оглед необходимостта от нотифициране на държавна помощ. </w:t>
            </w:r>
          </w:p>
          <w:p w:rsidR="00995AD9" w:rsidRPr="00995AD9" w:rsidRDefault="00995AD9" w:rsidP="00995AD9">
            <w:pPr>
              <w:jc w:val="both"/>
              <w:rPr>
                <w:lang w:eastAsia="en-US"/>
              </w:rPr>
            </w:pPr>
            <w:r w:rsidRPr="00995AD9">
              <w:rPr>
                <w:lang w:eastAsia="en-US"/>
              </w:rPr>
              <w:t xml:space="preserve">Официалната позиция на ЕК гласи, че мерките за подпомагане на развитието на селските райони по силата на чл. 81, параграф 2 от Регламент за развитие на селските райони (ЕС) № 1305/2013 г. са освободени от контрол на държавна помощ, доколкото попадат в обхвата на член 42 от Договора за функциониране на Европейския съюз и предвид, че въпросната мярка цели подпомагане на земеделско производство или търговия със селскостопански продукти ЕК приканва българските власт да оттеглят искането за нотификация на държавна помощ. </w:t>
            </w:r>
          </w:p>
          <w:p w:rsidR="00995AD9" w:rsidRPr="00995AD9" w:rsidRDefault="00995AD9" w:rsidP="00995AD9">
            <w:pPr>
              <w:jc w:val="both"/>
              <w:rPr>
                <w:lang w:eastAsia="en-US"/>
              </w:rPr>
            </w:pPr>
            <w:r w:rsidRPr="00995AD9">
              <w:rPr>
                <w:lang w:eastAsia="en-US"/>
              </w:rPr>
              <w:t xml:space="preserve">Поради тази причина, по препоръка на ЕК, УО на ПРСР 2014-2020 г. предприе действия за оттегляне на държавна </w:t>
            </w:r>
            <w:r w:rsidRPr="00995AD9">
              <w:rPr>
                <w:lang w:eastAsia="en-US"/>
              </w:rPr>
              <w:lastRenderedPageBreak/>
              <w:t xml:space="preserve">помощ № </w:t>
            </w:r>
            <w:r w:rsidRPr="00995AD9">
              <w:rPr>
                <w:lang w:val="en-US" w:eastAsia="en-US"/>
              </w:rPr>
              <w:t>SA</w:t>
            </w:r>
            <w:r w:rsidRPr="00194641">
              <w:rPr>
                <w:lang w:eastAsia="en-US"/>
              </w:rPr>
              <w:t>.57992 (2020/</w:t>
            </w:r>
            <w:r w:rsidRPr="00995AD9">
              <w:rPr>
                <w:lang w:val="en-US" w:eastAsia="en-US"/>
              </w:rPr>
              <w:t>N</w:t>
            </w:r>
            <w:r w:rsidRPr="00194641">
              <w:rPr>
                <w:lang w:eastAsia="en-US"/>
              </w:rPr>
              <w:t xml:space="preserve">) </w:t>
            </w:r>
            <w:r w:rsidRPr="00995AD9">
              <w:rPr>
                <w:lang w:eastAsia="en-US"/>
              </w:rPr>
              <w:t>във връзка с прилагане на подмярка 16.4 „Подкрепа за хоризонтално и вертикално сътрудничество между участниците във веригата на доставки“ от мярка 16 „Сътрудничество“ от ПРСР за периода 2014 - 2020 г.</w:t>
            </w:r>
          </w:p>
          <w:p w:rsidR="00995AD9" w:rsidRPr="00995AD9" w:rsidRDefault="00995AD9" w:rsidP="00995AD9">
            <w:pPr>
              <w:jc w:val="both"/>
            </w:pPr>
            <w:r w:rsidRPr="00995AD9">
              <w:t>В тази връзка, за планирания прием на проектни предложение в периода октомври –декември 2020 г. съгласно предложението за актуализация на ИГРП 2020 г. в графа държавна помощ</w:t>
            </w:r>
            <w:r w:rsidR="001058C9">
              <w:t>/минимална помощ</w:t>
            </w:r>
            <w:r w:rsidRPr="00995AD9">
              <w:t xml:space="preserve"> е посочено </w:t>
            </w:r>
            <w:r w:rsidR="001058C9">
              <w:t xml:space="preserve">пояснение </w:t>
            </w:r>
            <w:r w:rsidRPr="00995AD9">
              <w:t>„</w:t>
            </w:r>
            <w:r w:rsidR="001058C9">
              <w:t>Не</w:t>
            </w:r>
            <w:r w:rsidRPr="00995AD9">
              <w:t>“.</w:t>
            </w:r>
          </w:p>
          <w:p w:rsidR="00995AD9" w:rsidRPr="00995AD9" w:rsidRDefault="00995AD9" w:rsidP="00995AD9">
            <w:pPr>
              <w:jc w:val="both"/>
            </w:pPr>
            <w:r w:rsidRPr="00995AD9">
              <w:t>Що се касае до максималния размер на допустимите разходи по процедурата, УО на ПРСР 2014-2020 г. предлага в предстоящата процедура на бъде определен максимален размер на БФП от 500 000 евро и интензитет на финансовата помощ в размер на 50 % от одобрените разходи в съответствие с одобрената ПРСР 2014-2020 г.</w:t>
            </w:r>
          </w:p>
          <w:p w:rsidR="00995AD9" w:rsidRPr="00A92939" w:rsidRDefault="00995AD9" w:rsidP="00A92939">
            <w:pPr>
              <w:jc w:val="both"/>
            </w:pPr>
          </w:p>
        </w:tc>
      </w:tr>
      <w:tr w:rsidR="00A92939" w:rsidRPr="00A92939" w:rsidTr="00861DA4">
        <w:tc>
          <w:tcPr>
            <w:tcW w:w="2268" w:type="dxa"/>
            <w:vAlign w:val="center"/>
          </w:tcPr>
          <w:p w:rsidR="00A92939" w:rsidRPr="00A92939" w:rsidRDefault="00A92939" w:rsidP="00A92939">
            <w:pPr>
              <w:rPr>
                <w:sz w:val="22"/>
                <w:szCs w:val="22"/>
              </w:rPr>
            </w:pPr>
            <w:r w:rsidRPr="00A92939">
              <w:rPr>
                <w:sz w:val="22"/>
                <w:szCs w:val="22"/>
              </w:rPr>
              <w:lastRenderedPageBreak/>
              <w:t>Зооинж. Румен Андреев-Председател на УС на Асоциация на индустриалното свиневъдство в България</w:t>
            </w:r>
          </w:p>
        </w:tc>
        <w:tc>
          <w:tcPr>
            <w:tcW w:w="6520" w:type="dxa"/>
            <w:vAlign w:val="center"/>
          </w:tcPr>
          <w:p w:rsidR="009A56D7" w:rsidRDefault="00A92939" w:rsidP="00A92939">
            <w:pPr>
              <w:jc w:val="both"/>
            </w:pPr>
            <w:r w:rsidRPr="00A92939">
              <w:t xml:space="preserve">По писмената процедура на КН на ПРСР, приветстват отваряне на подмярка 5.1. </w:t>
            </w:r>
          </w:p>
          <w:p w:rsidR="00A92939" w:rsidRPr="00A92939" w:rsidRDefault="00A92939" w:rsidP="00A92939">
            <w:pPr>
              <w:jc w:val="both"/>
            </w:pPr>
            <w:r w:rsidRPr="00A92939">
              <w:t>Торохранилища, торови ями и други подобни съоръжения са технологично свързани с помещенията за отглеждане на животни.Управляващия орган  (УО)  на ПРСР 2014-2020 да вземе предвид технологията при отглеждане на свине й инвестициите за торохранилища, торови ями и други подобни съоръжения да бъдат допустими по подмярка 5.1.</w:t>
            </w:r>
          </w:p>
        </w:tc>
        <w:tc>
          <w:tcPr>
            <w:tcW w:w="6237" w:type="dxa"/>
            <w:vAlign w:val="center"/>
          </w:tcPr>
          <w:p w:rsidR="00A92939" w:rsidRPr="00A92939" w:rsidRDefault="005C0771" w:rsidP="00A92939">
            <w:pPr>
              <w:jc w:val="both"/>
            </w:pPr>
            <w:r>
              <w:t>Препоръката не касае предмета</w:t>
            </w:r>
            <w:r w:rsidR="009A56D7">
              <w:t xml:space="preserve"> на настоящата</w:t>
            </w:r>
            <w:r>
              <w:t xml:space="preserve"> писмената процедура</w:t>
            </w:r>
            <w:r w:rsidR="001629B4">
              <w:t>.</w:t>
            </w:r>
          </w:p>
        </w:tc>
      </w:tr>
      <w:tr w:rsidR="00A92939" w:rsidRPr="00A92939" w:rsidTr="00A92939">
        <w:tc>
          <w:tcPr>
            <w:tcW w:w="15025" w:type="dxa"/>
            <w:gridSpan w:val="3"/>
            <w:vAlign w:val="center"/>
          </w:tcPr>
          <w:p w:rsidR="00A92939" w:rsidRPr="00A92939" w:rsidRDefault="00A92939" w:rsidP="00A92939">
            <w:pPr>
              <w:tabs>
                <w:tab w:val="left" w:pos="0"/>
              </w:tabs>
              <w:spacing w:after="200" w:line="276" w:lineRule="auto"/>
              <w:ind w:firstLine="709"/>
              <w:jc w:val="both"/>
              <w:rPr>
                <w:bCs/>
                <w:lang w:eastAsia="en-US"/>
              </w:rPr>
            </w:pPr>
            <w:r w:rsidRPr="00A92939">
              <w:rPr>
                <w:bCs/>
                <w:lang w:eastAsia="en-US"/>
              </w:rPr>
              <w:t>2. Предложение на УО на ПРСР 2014-2020 г. за критерии за подбор на проектни предложения по подмярка 16.4 „Подкрепа за хоризонтално и вертикално сътрудничество между участниците във веригата на доставки“ от мярка 16 „Сътрудничество“ на ПРСР 2014-2020 г.</w:t>
            </w:r>
          </w:p>
        </w:tc>
      </w:tr>
      <w:tr w:rsidR="00A92939" w:rsidRPr="00A92939" w:rsidTr="00861DA4">
        <w:tc>
          <w:tcPr>
            <w:tcW w:w="2268" w:type="dxa"/>
            <w:vAlign w:val="center"/>
          </w:tcPr>
          <w:p w:rsidR="00A92939" w:rsidRPr="00A92939" w:rsidRDefault="00A92939" w:rsidP="00A92939">
            <w:pPr>
              <w:rPr>
                <w:sz w:val="22"/>
                <w:szCs w:val="22"/>
              </w:rPr>
            </w:pPr>
            <w:r w:rsidRPr="00A92939">
              <w:rPr>
                <w:sz w:val="22"/>
                <w:szCs w:val="22"/>
              </w:rPr>
              <w:t xml:space="preserve">Весела Данева - директор на дирекция "Държавни помощи и реален сектор", Министерство на </w:t>
            </w:r>
            <w:r w:rsidRPr="00A92939">
              <w:rPr>
                <w:sz w:val="22"/>
                <w:szCs w:val="22"/>
              </w:rPr>
              <w:lastRenderedPageBreak/>
              <w:t>финансите</w:t>
            </w:r>
          </w:p>
        </w:tc>
        <w:tc>
          <w:tcPr>
            <w:tcW w:w="6520" w:type="dxa"/>
            <w:vAlign w:val="center"/>
          </w:tcPr>
          <w:p w:rsidR="00A92939" w:rsidRPr="00A92939" w:rsidRDefault="00A92939" w:rsidP="00A92939">
            <w:pPr>
              <w:jc w:val="both"/>
            </w:pPr>
            <w:r w:rsidRPr="00A92939">
              <w:lastRenderedPageBreak/>
              <w:t xml:space="preserve">Считаме, че в приложената Обяснителна записка във връзка с провеждане на писмена процедура за неприсъствено вземане на решение на КН на ПРСР 2014-2020 г. не се съдържа достатъчна информация, свързана с предложеното изменение на критериите за подбор на проектни предложения по подмярка 16.4 „Подкрепа за хоризонтално и </w:t>
            </w:r>
            <w:r w:rsidRPr="00A92939">
              <w:lastRenderedPageBreak/>
              <w:t>вертикално сътрудничество между участниците във веригата на доставки“.</w:t>
            </w:r>
          </w:p>
          <w:p w:rsidR="00A92939" w:rsidRPr="00194641" w:rsidRDefault="00A92939" w:rsidP="00A92939">
            <w:pPr>
              <w:jc w:val="both"/>
            </w:pPr>
            <w:r w:rsidRPr="00A92939">
              <w:t>В тази връзка и предвид изложените по-горе бележки по актуализирания ИГРП 2020, относими към подмярка 16.4, предлагаме изменението на критериите да бъдат одобрени след предоставяне от страна на УО,  на членовете на КН необходимата информация, която да доказва, че решението за изменение на критериите по подмярка 16.4 е съобразено с националното и европейско законодателство в областта на държавните</w:t>
            </w:r>
            <w:r w:rsidRPr="00194641">
              <w:t xml:space="preserve"> </w:t>
            </w:r>
            <w:r w:rsidRPr="00A92939">
              <w:t>помощи, както и с одобрената ПРСР 2014-2020 г.</w:t>
            </w:r>
          </w:p>
        </w:tc>
        <w:tc>
          <w:tcPr>
            <w:tcW w:w="6237" w:type="dxa"/>
            <w:vAlign w:val="center"/>
          </w:tcPr>
          <w:p w:rsidR="00995AD9" w:rsidRPr="00995AD9" w:rsidRDefault="00995AD9" w:rsidP="00995AD9">
            <w:pPr>
              <w:keepNext/>
              <w:keepLines/>
              <w:spacing w:before="40"/>
              <w:jc w:val="both"/>
              <w:outlineLvl w:val="5"/>
            </w:pPr>
            <w:r w:rsidRPr="00995AD9">
              <w:lastRenderedPageBreak/>
              <w:t xml:space="preserve">Съгласно </w:t>
            </w:r>
            <w:r w:rsidR="001058C9">
              <w:t>Раздел „П</w:t>
            </w:r>
            <w:r w:rsidRPr="00995AD9">
              <w:t>ринципи при определяне на критериите за подбор</w:t>
            </w:r>
            <w:r w:rsidR="001058C9">
              <w:t>“</w:t>
            </w:r>
            <w:r w:rsidRPr="00995AD9">
              <w:t xml:space="preserve"> по подмярка „Подкрепа за хоризонтално и вертикално сътрудничество между участниците във веригата на доставки“ от мярка 16 „Сътрудничество“ от ПРСР 2014-2020 година:</w:t>
            </w:r>
          </w:p>
          <w:p w:rsidR="00995AD9" w:rsidRPr="00995AD9" w:rsidRDefault="00995AD9" w:rsidP="00995AD9">
            <w:pPr>
              <w:keepNext/>
              <w:keepLines/>
              <w:spacing w:before="40"/>
              <w:jc w:val="both"/>
              <w:outlineLvl w:val="5"/>
            </w:pPr>
            <w:r w:rsidRPr="00995AD9">
              <w:lastRenderedPageBreak/>
              <w:t>Критериите за избор се базират на следните принципи и характеристики:</w:t>
            </w:r>
          </w:p>
          <w:p w:rsidR="00995AD9" w:rsidRPr="00861DA4" w:rsidRDefault="00995AD9" w:rsidP="00861DA4">
            <w:pPr>
              <w:contextualSpacing/>
              <w:jc w:val="both"/>
              <w:rPr>
                <w:b/>
                <w:i/>
              </w:rPr>
            </w:pPr>
            <w:r w:rsidRPr="00861DA4">
              <w:rPr>
                <w:b/>
                <w:i/>
              </w:rPr>
              <w:t>Оценка на териториалния обхват на проекта </w:t>
            </w:r>
          </w:p>
          <w:p w:rsidR="00995AD9" w:rsidRPr="00861DA4" w:rsidRDefault="00995AD9" w:rsidP="00995AD9">
            <w:pPr>
              <w:jc w:val="both"/>
              <w:rPr>
                <w:i/>
              </w:rPr>
            </w:pPr>
            <w:r w:rsidRPr="00861DA4">
              <w:rPr>
                <w:i/>
              </w:rPr>
              <w:t>Приоритет ще се дава на проекти, които се изпълняват в планински и полупланински райони.</w:t>
            </w:r>
          </w:p>
          <w:p w:rsidR="00995AD9" w:rsidRPr="00861DA4" w:rsidRDefault="00995AD9" w:rsidP="00861DA4">
            <w:pPr>
              <w:contextualSpacing/>
              <w:jc w:val="both"/>
              <w:rPr>
                <w:b/>
                <w:i/>
              </w:rPr>
            </w:pPr>
            <w:r w:rsidRPr="00861DA4">
              <w:rPr>
                <w:b/>
                <w:i/>
              </w:rPr>
              <w:t>Оценка на  участниците  в проекта</w:t>
            </w:r>
          </w:p>
          <w:p w:rsidR="00995AD9" w:rsidRPr="00861DA4" w:rsidRDefault="00995AD9" w:rsidP="00995AD9">
            <w:pPr>
              <w:jc w:val="both"/>
              <w:rPr>
                <w:i/>
              </w:rPr>
            </w:pPr>
            <w:r w:rsidRPr="00861DA4">
              <w:rPr>
                <w:i/>
              </w:rPr>
              <w:t>Приоритет ще се дава на проекти, в които са включени малки стопанства, съгласно определението в тематичната подпрограма и/ или признати групи или организации на производители. Приоритетът ще бъде с тежест при избора 50%.</w:t>
            </w:r>
          </w:p>
          <w:p w:rsidR="00995AD9" w:rsidRPr="00861DA4" w:rsidRDefault="00995AD9" w:rsidP="00861DA4">
            <w:pPr>
              <w:contextualSpacing/>
              <w:jc w:val="both"/>
              <w:rPr>
                <w:b/>
                <w:i/>
              </w:rPr>
            </w:pPr>
            <w:r w:rsidRPr="00861DA4">
              <w:rPr>
                <w:b/>
                <w:i/>
              </w:rPr>
              <w:t>Оценка на видовете  продукти, включени в обхвата на сътрудничеството </w:t>
            </w:r>
          </w:p>
          <w:p w:rsidR="00995AD9" w:rsidRPr="00861DA4" w:rsidRDefault="00995AD9" w:rsidP="00995AD9">
            <w:pPr>
              <w:jc w:val="both"/>
              <w:rPr>
                <w:i/>
              </w:rPr>
            </w:pPr>
            <w:r w:rsidRPr="00861DA4">
              <w:rPr>
                <w:i/>
              </w:rPr>
              <w:t>Приоритет ще се дава на проекти, които са за секторите производство или преработка на плодове и зеленчуци и/или производство и преработка на продукти от животински произход.</w:t>
            </w:r>
          </w:p>
          <w:p w:rsidR="00995AD9" w:rsidRPr="00861DA4" w:rsidRDefault="00995AD9" w:rsidP="00995AD9">
            <w:pPr>
              <w:jc w:val="both"/>
              <w:rPr>
                <w:i/>
              </w:rPr>
            </w:pPr>
            <w:r w:rsidRPr="00861DA4">
              <w:rPr>
                <w:i/>
              </w:rPr>
              <w:t>Ще се определи минимален брой точки за класиране на проектите.</w:t>
            </w:r>
          </w:p>
          <w:p w:rsidR="00995AD9" w:rsidRPr="00995AD9" w:rsidRDefault="00995AD9" w:rsidP="00995AD9">
            <w:pPr>
              <w:ind w:firstLine="708"/>
              <w:jc w:val="both"/>
            </w:pPr>
            <w:r w:rsidRPr="00995AD9">
              <w:t>Управляващият орган на ПРСР 2014-2020 г. счита, че предложените критерии за подбор на проектни предложения са разработени в съответствие с принципите при определяне на критериите за подбор по подмярката, като са съобразени и с резултатите, поставените въпроси и отправените предложения по отношение на прилагането на подмярката в рамките на приключилата процедура чрез подбор № BG06RDNP001-16.002.</w:t>
            </w:r>
          </w:p>
          <w:p w:rsidR="00A92939" w:rsidRPr="00A92939" w:rsidRDefault="00A92939" w:rsidP="00A92939">
            <w:pPr>
              <w:jc w:val="both"/>
            </w:pPr>
          </w:p>
        </w:tc>
      </w:tr>
      <w:tr w:rsidR="00A92939" w:rsidRPr="00A92939" w:rsidTr="00A92939">
        <w:tc>
          <w:tcPr>
            <w:tcW w:w="15025" w:type="dxa"/>
            <w:gridSpan w:val="3"/>
            <w:vAlign w:val="center"/>
          </w:tcPr>
          <w:p w:rsidR="00A92939" w:rsidRPr="00A92939" w:rsidRDefault="00A92939" w:rsidP="00A92939">
            <w:pPr>
              <w:tabs>
                <w:tab w:val="left" w:pos="0"/>
              </w:tabs>
              <w:overflowPunct w:val="0"/>
              <w:autoSpaceDE w:val="0"/>
              <w:autoSpaceDN w:val="0"/>
              <w:adjustRightInd w:val="0"/>
              <w:spacing w:after="200" w:line="276" w:lineRule="auto"/>
              <w:ind w:firstLine="709"/>
              <w:jc w:val="both"/>
              <w:textAlignment w:val="baseline"/>
              <w:rPr>
                <w:bCs/>
                <w:lang w:eastAsia="en-US"/>
              </w:rPr>
            </w:pPr>
            <w:r w:rsidRPr="00A92939">
              <w:rPr>
                <w:bCs/>
                <w:lang w:eastAsia="en-US"/>
              </w:rPr>
              <w:lastRenderedPageBreak/>
              <w:t>3. Предложение на УО на ПРСР 2014-2020 г. за критерии за подбор на проектни предложения по подмярка 2.2 „Създаване на консултантски услуги“ от мярка 2 „Консултантски услуги, услуги по управление на стопанство и услуги по заместване в стопанство“ на ПРСР 2014-2020 г.</w:t>
            </w:r>
          </w:p>
        </w:tc>
      </w:tr>
      <w:tr w:rsidR="00A92939" w:rsidRPr="00A92939" w:rsidTr="00861DA4">
        <w:tc>
          <w:tcPr>
            <w:tcW w:w="2268" w:type="dxa"/>
            <w:vAlign w:val="center"/>
          </w:tcPr>
          <w:p w:rsidR="00A92939" w:rsidRPr="00A92939" w:rsidRDefault="00A92939" w:rsidP="00A92939">
            <w:pPr>
              <w:rPr>
                <w:sz w:val="22"/>
                <w:szCs w:val="22"/>
              </w:rPr>
            </w:pPr>
            <w:r w:rsidRPr="00A92939">
              <w:rPr>
                <w:sz w:val="22"/>
                <w:szCs w:val="22"/>
              </w:rPr>
              <w:t xml:space="preserve">Весела Данева - директор на </w:t>
            </w:r>
            <w:r w:rsidRPr="00A92939">
              <w:rPr>
                <w:sz w:val="22"/>
                <w:szCs w:val="22"/>
              </w:rPr>
              <w:lastRenderedPageBreak/>
              <w:t>дирекция "Държавни помощи и реален сектор", Министерство на финансите</w:t>
            </w:r>
          </w:p>
        </w:tc>
        <w:tc>
          <w:tcPr>
            <w:tcW w:w="6520" w:type="dxa"/>
            <w:vAlign w:val="center"/>
          </w:tcPr>
          <w:p w:rsidR="00A92939" w:rsidRPr="00A92939" w:rsidRDefault="00A92939" w:rsidP="00A92939">
            <w:pPr>
              <w:jc w:val="both"/>
            </w:pPr>
            <w:r w:rsidRPr="00A92939">
              <w:lastRenderedPageBreak/>
              <w:t xml:space="preserve">Тъй като в изпратения документ, свързан с решението за </w:t>
            </w:r>
            <w:r w:rsidRPr="00A92939">
              <w:lastRenderedPageBreak/>
              <w:t>предложение и одобрение на Критериите за подбор на проектни предложения по подмярка 2.2 „Създаване на консултантски услуги“ от мярка 2 „Консултантски услуги, услуги по управление на стопанство и услуги по заместване в стопанство“, не се съдържа информация за това, дали предложените критерии са съобразени с условията, включени в част II, раздел 3.6 от Насоки на Европейския съюз за държавната помощ в секторите на селското и горското стопанство и в селските райони за периода 2014-2020 г. (2014/C 204/01), предлагаме УО да допълни документа в това отношение. По този начин, УО би могъл да гарантира, че предложените критерии по мярката са съобразени с националното и европейско законодателство в областта на държавните помощи, както и с одобрената ПРСР 2014-2020 г.</w:t>
            </w:r>
          </w:p>
        </w:tc>
        <w:tc>
          <w:tcPr>
            <w:tcW w:w="6237" w:type="dxa"/>
            <w:vAlign w:val="center"/>
          </w:tcPr>
          <w:p w:rsidR="00995AD9" w:rsidRDefault="00995AD9" w:rsidP="00995AD9">
            <w:pPr>
              <w:jc w:val="both"/>
            </w:pPr>
            <w:r w:rsidRPr="00DE695B">
              <w:lastRenderedPageBreak/>
              <w:t xml:space="preserve">Предвидената процедура чрез подбор </w:t>
            </w:r>
            <w:r>
              <w:t xml:space="preserve">на проектни </w:t>
            </w:r>
            <w:r>
              <w:lastRenderedPageBreak/>
              <w:t xml:space="preserve">предложения по подмярка 2.2 „Консултантски услуги“ </w:t>
            </w:r>
            <w:r w:rsidRPr="00DE695B">
              <w:t xml:space="preserve">не попада в </w:t>
            </w:r>
            <w:r>
              <w:t>обхвата на</w:t>
            </w:r>
            <w:r w:rsidRPr="00DE695B">
              <w:t xml:space="preserve"> </w:t>
            </w:r>
            <w:r>
              <w:t>държавна/минимална помощ, поради изложените по-горе мотиви</w:t>
            </w:r>
            <w:r w:rsidRPr="00DE695B">
              <w:t xml:space="preserve">. </w:t>
            </w:r>
          </w:p>
          <w:p w:rsidR="00A92939" w:rsidRPr="00A92939" w:rsidRDefault="00995AD9" w:rsidP="00995AD9">
            <w:pPr>
              <w:jc w:val="both"/>
            </w:pPr>
            <w:r w:rsidRPr="00DE695B">
              <w:t xml:space="preserve">Предложените критерии за подбор на проектни предложения са разработени в съответствие с Принципите при определяне на критериите за подбор по подмярка 2.2 „Създаване на консултантски услуги“ </w:t>
            </w:r>
            <w:r>
              <w:t>о</w:t>
            </w:r>
            <w:r w:rsidRPr="00DE695B">
              <w:t>т мярка 2 „Консултантски услуги, услуги по управление на стопанство и услуги по заместване в стопанство“ от ПРСР 2014-2020 г.</w:t>
            </w:r>
          </w:p>
        </w:tc>
      </w:tr>
    </w:tbl>
    <w:p w:rsidR="00A92939" w:rsidRPr="00A92939" w:rsidRDefault="00A92939" w:rsidP="00A92939"/>
    <w:p w:rsidR="00A92939" w:rsidRDefault="00A92939" w:rsidP="00A92939">
      <w:pPr>
        <w:ind w:left="5664" w:firstLine="708"/>
        <w:jc w:val="right"/>
      </w:pPr>
    </w:p>
    <w:p w:rsidR="00A92939" w:rsidRDefault="00A92939" w:rsidP="00A92939">
      <w:pPr>
        <w:ind w:left="5664" w:firstLine="708"/>
        <w:jc w:val="right"/>
      </w:pPr>
    </w:p>
    <w:p w:rsidR="00A92939" w:rsidRPr="00A92939" w:rsidRDefault="00A92939" w:rsidP="001D05E8">
      <w:pPr>
        <w:ind w:left="11328" w:firstLine="708"/>
      </w:pPr>
      <w:r>
        <w:t>Приложение 2</w:t>
      </w:r>
      <w:r w:rsidR="00D82D25">
        <w:t>.</w:t>
      </w:r>
    </w:p>
    <w:p w:rsidR="00A92939" w:rsidRDefault="001D05E8" w:rsidP="00A92939">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   </w:t>
      </w:r>
    </w:p>
    <w:p w:rsidR="001D05E8" w:rsidRPr="001D05E8" w:rsidRDefault="001D05E8" w:rsidP="001D05E8">
      <w:pPr>
        <w:jc w:val="center"/>
        <w:rPr>
          <w:b/>
          <w:sz w:val="22"/>
          <w:szCs w:val="22"/>
        </w:rPr>
      </w:pPr>
    </w:p>
    <w:p w:rsidR="001D05E8" w:rsidRPr="001D05E8" w:rsidRDefault="001D05E8" w:rsidP="001D05E8">
      <w:pPr>
        <w:jc w:val="center"/>
        <w:rPr>
          <w:b/>
          <w:sz w:val="22"/>
          <w:szCs w:val="22"/>
        </w:rPr>
      </w:pPr>
      <w:r w:rsidRPr="001D05E8">
        <w:rPr>
          <w:b/>
          <w:sz w:val="22"/>
          <w:szCs w:val="22"/>
        </w:rPr>
        <w:t>ИНДИКАТИВНА ГОДИШНА РАБОТНА ПРОГРАМА</w:t>
      </w:r>
    </w:p>
    <w:p w:rsidR="001D05E8" w:rsidRPr="001D05E8" w:rsidRDefault="001D05E8" w:rsidP="001D05E8">
      <w:pPr>
        <w:jc w:val="center"/>
        <w:rPr>
          <w:b/>
          <w:sz w:val="22"/>
          <w:szCs w:val="22"/>
        </w:rPr>
      </w:pPr>
      <w:r w:rsidRPr="001D05E8">
        <w:rPr>
          <w:b/>
          <w:sz w:val="22"/>
          <w:szCs w:val="22"/>
        </w:rPr>
        <w:t>ПРОГРАМА ЗА РАЗВИТИЕ НА СЕЛСКИТЕ РАЙОНИ ЗА ПЕРИОДА 2014-2020 Г.</w:t>
      </w:r>
    </w:p>
    <w:p w:rsidR="001D05E8" w:rsidRPr="001D05E8" w:rsidRDefault="001D05E8" w:rsidP="001D05E8">
      <w:pPr>
        <w:jc w:val="center"/>
        <w:rPr>
          <w:b/>
          <w:sz w:val="22"/>
          <w:szCs w:val="22"/>
        </w:rPr>
      </w:pPr>
      <w:r w:rsidRPr="001D05E8">
        <w:rPr>
          <w:b/>
          <w:sz w:val="22"/>
          <w:szCs w:val="22"/>
        </w:rPr>
        <w:t>2020 ГОДИНА</w:t>
      </w:r>
    </w:p>
    <w:p w:rsidR="001D05E8" w:rsidRPr="001D05E8" w:rsidRDefault="001D05E8" w:rsidP="001D05E8">
      <w:pPr>
        <w:jc w:val="center"/>
        <w:rPr>
          <w:b/>
          <w:sz w:val="22"/>
          <w:szCs w:val="22"/>
        </w:rPr>
      </w:pPr>
    </w:p>
    <w:tbl>
      <w:tblPr>
        <w:tblW w:w="51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5"/>
        <w:gridCol w:w="1134"/>
        <w:gridCol w:w="994"/>
        <w:gridCol w:w="696"/>
        <w:gridCol w:w="1131"/>
        <w:gridCol w:w="1616"/>
        <w:gridCol w:w="1512"/>
        <w:gridCol w:w="2128"/>
        <w:gridCol w:w="850"/>
        <w:gridCol w:w="709"/>
        <w:gridCol w:w="769"/>
        <w:gridCol w:w="810"/>
        <w:gridCol w:w="813"/>
        <w:gridCol w:w="867"/>
        <w:gridCol w:w="994"/>
      </w:tblGrid>
      <w:tr w:rsidR="00C23F62" w:rsidRPr="001D05E8" w:rsidTr="00D66DDD">
        <w:trPr>
          <w:trHeight w:val="20"/>
          <w:tblHeader/>
        </w:trPr>
        <w:tc>
          <w:tcPr>
            <w:tcW w:w="212" w:type="pct"/>
            <w:vMerge w:val="restart"/>
            <w:shd w:val="clear" w:color="auto" w:fill="D9D9D9"/>
            <w:vAlign w:val="center"/>
          </w:tcPr>
          <w:p w:rsidR="001D05E8" w:rsidRPr="001D05E8" w:rsidRDefault="001D05E8" w:rsidP="001D05E8">
            <w:pPr>
              <w:widowControl w:val="0"/>
              <w:ind w:left="-108" w:right="-108"/>
              <w:jc w:val="center"/>
              <w:rPr>
                <w:b/>
                <w:sz w:val="16"/>
                <w:szCs w:val="16"/>
              </w:rPr>
            </w:pPr>
            <w:r w:rsidRPr="001D05E8">
              <w:rPr>
                <w:b/>
                <w:sz w:val="16"/>
                <w:szCs w:val="16"/>
              </w:rPr>
              <w:t>№ по ред</w:t>
            </w:r>
          </w:p>
        </w:tc>
        <w:tc>
          <w:tcPr>
            <w:tcW w:w="297" w:type="pct"/>
            <w:vMerge w:val="restar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Наименование на  процедурата</w:t>
            </w:r>
          </w:p>
        </w:tc>
        <w:tc>
          <w:tcPr>
            <w:tcW w:w="339" w:type="pct"/>
            <w:vMerge w:val="restar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Цели на предоставяната БФП по процедурата</w:t>
            </w:r>
          </w:p>
        </w:tc>
        <w:tc>
          <w:tcPr>
            <w:tcW w:w="297" w:type="pct"/>
            <w:vMerge w:val="restar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Начин на провеждане на процедурата съгласно чл. 2 от ПМС № 162 от 2016 г.</w:t>
            </w:r>
          </w:p>
        </w:tc>
        <w:tc>
          <w:tcPr>
            <w:tcW w:w="208" w:type="pct"/>
            <w:vMerge w:val="restar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Извършване на предварителен подбор на концепции за проектни предложения</w:t>
            </w:r>
          </w:p>
        </w:tc>
        <w:tc>
          <w:tcPr>
            <w:tcW w:w="338" w:type="pct"/>
            <w:vMerge w:val="restar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Общ размер на БФП  по процедурата (в лв.)</w:t>
            </w:r>
          </w:p>
        </w:tc>
        <w:tc>
          <w:tcPr>
            <w:tcW w:w="483" w:type="pct"/>
            <w:vMerge w:val="restar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Допустими кандидати</w:t>
            </w:r>
          </w:p>
        </w:tc>
        <w:tc>
          <w:tcPr>
            <w:tcW w:w="452" w:type="pct"/>
            <w:vMerge w:val="restar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Примерни допустими дейности</w:t>
            </w:r>
          </w:p>
        </w:tc>
        <w:tc>
          <w:tcPr>
            <w:tcW w:w="636" w:type="pct"/>
            <w:vMerge w:val="restar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Категории допустими разходи</w:t>
            </w:r>
          </w:p>
        </w:tc>
        <w:tc>
          <w:tcPr>
            <w:tcW w:w="254" w:type="pct"/>
            <w:vMerge w:val="restar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Максимален % на съ-финансиране</w:t>
            </w:r>
          </w:p>
        </w:tc>
        <w:tc>
          <w:tcPr>
            <w:tcW w:w="212" w:type="pct"/>
            <w:vMerge w:val="restart"/>
            <w:shd w:val="clear" w:color="auto" w:fill="D9D9D9"/>
            <w:vAlign w:val="center"/>
          </w:tcPr>
          <w:p w:rsidR="001D05E8" w:rsidRPr="001D05E8" w:rsidRDefault="001D05E8" w:rsidP="001D05E8">
            <w:pPr>
              <w:tabs>
                <w:tab w:val="left" w:pos="601"/>
              </w:tabs>
              <w:ind w:left="-108" w:right="-108"/>
              <w:jc w:val="center"/>
              <w:rPr>
                <w:b/>
                <w:sz w:val="16"/>
                <w:szCs w:val="16"/>
              </w:rPr>
            </w:pPr>
            <w:r w:rsidRPr="001D05E8">
              <w:rPr>
                <w:b/>
                <w:sz w:val="16"/>
                <w:szCs w:val="16"/>
              </w:rPr>
              <w:t>Дата на обявяване на процедурата</w:t>
            </w:r>
          </w:p>
        </w:tc>
        <w:tc>
          <w:tcPr>
            <w:tcW w:w="230" w:type="pct"/>
            <w:vMerge w:val="restar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Краен срок за подаване на проектни предложения</w:t>
            </w:r>
          </w:p>
        </w:tc>
        <w:tc>
          <w:tcPr>
            <w:tcW w:w="485" w:type="pct"/>
            <w:gridSpan w:val="2"/>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Представлява ли процедурата/част от нея:</w:t>
            </w:r>
          </w:p>
        </w:tc>
        <w:tc>
          <w:tcPr>
            <w:tcW w:w="556" w:type="pct"/>
            <w:gridSpan w:val="2"/>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Размер на допустимите разходи за проект (в лв.)</w:t>
            </w:r>
          </w:p>
        </w:tc>
      </w:tr>
      <w:tr w:rsidR="00C23F62" w:rsidRPr="001D05E8" w:rsidTr="00D66DDD">
        <w:trPr>
          <w:trHeight w:val="20"/>
          <w:tblHeader/>
        </w:trPr>
        <w:tc>
          <w:tcPr>
            <w:tcW w:w="212" w:type="pct"/>
            <w:vMerge/>
            <w:shd w:val="clear" w:color="auto" w:fill="D9D9D9"/>
            <w:vAlign w:val="center"/>
          </w:tcPr>
          <w:p w:rsidR="001D05E8" w:rsidRPr="001D05E8" w:rsidRDefault="001D05E8" w:rsidP="001D05E8">
            <w:pPr>
              <w:ind w:left="-108" w:right="-108"/>
              <w:jc w:val="center"/>
              <w:rPr>
                <w:b/>
                <w:sz w:val="18"/>
                <w:szCs w:val="18"/>
              </w:rPr>
            </w:pPr>
          </w:p>
        </w:tc>
        <w:tc>
          <w:tcPr>
            <w:tcW w:w="297" w:type="pct"/>
            <w:vMerge/>
            <w:shd w:val="clear" w:color="auto" w:fill="D9D9D9"/>
            <w:vAlign w:val="center"/>
          </w:tcPr>
          <w:p w:rsidR="001D05E8" w:rsidRPr="001D05E8" w:rsidRDefault="001D05E8" w:rsidP="001D05E8">
            <w:pPr>
              <w:ind w:left="-108" w:right="-108"/>
              <w:jc w:val="center"/>
              <w:rPr>
                <w:b/>
                <w:sz w:val="18"/>
                <w:szCs w:val="18"/>
              </w:rPr>
            </w:pPr>
          </w:p>
        </w:tc>
        <w:tc>
          <w:tcPr>
            <w:tcW w:w="339" w:type="pct"/>
            <w:vMerge/>
            <w:shd w:val="clear" w:color="auto" w:fill="D9D9D9"/>
            <w:vAlign w:val="center"/>
          </w:tcPr>
          <w:p w:rsidR="001D05E8" w:rsidRPr="001D05E8" w:rsidRDefault="001D05E8" w:rsidP="001D05E8">
            <w:pPr>
              <w:ind w:left="-108" w:right="-108"/>
              <w:jc w:val="center"/>
              <w:rPr>
                <w:b/>
                <w:sz w:val="18"/>
                <w:szCs w:val="18"/>
              </w:rPr>
            </w:pPr>
          </w:p>
        </w:tc>
        <w:tc>
          <w:tcPr>
            <w:tcW w:w="297" w:type="pct"/>
            <w:vMerge/>
            <w:shd w:val="clear" w:color="auto" w:fill="D9D9D9"/>
            <w:vAlign w:val="center"/>
          </w:tcPr>
          <w:p w:rsidR="001D05E8" w:rsidRPr="001D05E8" w:rsidRDefault="001D05E8" w:rsidP="001D05E8">
            <w:pPr>
              <w:ind w:left="-108" w:right="-108"/>
              <w:jc w:val="center"/>
              <w:rPr>
                <w:b/>
                <w:sz w:val="18"/>
                <w:szCs w:val="18"/>
              </w:rPr>
            </w:pPr>
          </w:p>
        </w:tc>
        <w:tc>
          <w:tcPr>
            <w:tcW w:w="208" w:type="pct"/>
            <w:vMerge/>
            <w:shd w:val="clear" w:color="auto" w:fill="D9D9D9"/>
            <w:vAlign w:val="center"/>
          </w:tcPr>
          <w:p w:rsidR="001D05E8" w:rsidRPr="001D05E8" w:rsidRDefault="001D05E8" w:rsidP="001D05E8">
            <w:pPr>
              <w:ind w:left="-108" w:right="-108"/>
              <w:jc w:val="center"/>
              <w:rPr>
                <w:b/>
                <w:sz w:val="18"/>
                <w:szCs w:val="18"/>
              </w:rPr>
            </w:pPr>
          </w:p>
        </w:tc>
        <w:tc>
          <w:tcPr>
            <w:tcW w:w="338" w:type="pct"/>
            <w:vMerge/>
            <w:shd w:val="clear" w:color="auto" w:fill="D9D9D9"/>
            <w:vAlign w:val="center"/>
          </w:tcPr>
          <w:p w:rsidR="001D05E8" w:rsidRPr="001D05E8" w:rsidRDefault="001D05E8" w:rsidP="001D05E8">
            <w:pPr>
              <w:ind w:left="-108" w:right="-108"/>
              <w:jc w:val="center"/>
              <w:rPr>
                <w:b/>
                <w:sz w:val="18"/>
                <w:szCs w:val="18"/>
              </w:rPr>
            </w:pPr>
          </w:p>
        </w:tc>
        <w:tc>
          <w:tcPr>
            <w:tcW w:w="483" w:type="pct"/>
            <w:vMerge/>
            <w:shd w:val="clear" w:color="auto" w:fill="D9D9D9"/>
            <w:vAlign w:val="center"/>
          </w:tcPr>
          <w:p w:rsidR="001D05E8" w:rsidRPr="001D05E8" w:rsidRDefault="001D05E8" w:rsidP="001D05E8">
            <w:pPr>
              <w:ind w:left="-108" w:right="-108"/>
              <w:jc w:val="center"/>
              <w:rPr>
                <w:b/>
                <w:sz w:val="18"/>
                <w:szCs w:val="18"/>
              </w:rPr>
            </w:pPr>
          </w:p>
        </w:tc>
        <w:tc>
          <w:tcPr>
            <w:tcW w:w="452" w:type="pct"/>
            <w:vMerge/>
            <w:shd w:val="clear" w:color="auto" w:fill="D9D9D9"/>
            <w:vAlign w:val="center"/>
          </w:tcPr>
          <w:p w:rsidR="001D05E8" w:rsidRPr="001D05E8" w:rsidRDefault="001D05E8" w:rsidP="001D05E8">
            <w:pPr>
              <w:ind w:left="-108" w:right="-108"/>
              <w:jc w:val="center"/>
              <w:rPr>
                <w:b/>
                <w:sz w:val="18"/>
                <w:szCs w:val="18"/>
              </w:rPr>
            </w:pPr>
          </w:p>
        </w:tc>
        <w:tc>
          <w:tcPr>
            <w:tcW w:w="636" w:type="pct"/>
            <w:vMerge/>
            <w:shd w:val="clear" w:color="auto" w:fill="D9D9D9"/>
            <w:vAlign w:val="center"/>
          </w:tcPr>
          <w:p w:rsidR="001D05E8" w:rsidRPr="001D05E8" w:rsidRDefault="001D05E8" w:rsidP="001D05E8">
            <w:pPr>
              <w:ind w:left="-108" w:right="-108"/>
              <w:jc w:val="center"/>
              <w:rPr>
                <w:b/>
                <w:sz w:val="18"/>
                <w:szCs w:val="18"/>
              </w:rPr>
            </w:pPr>
          </w:p>
        </w:tc>
        <w:tc>
          <w:tcPr>
            <w:tcW w:w="254" w:type="pct"/>
            <w:vMerge/>
            <w:shd w:val="clear" w:color="auto" w:fill="D9D9D9"/>
            <w:vAlign w:val="center"/>
          </w:tcPr>
          <w:p w:rsidR="001D05E8" w:rsidRPr="001D05E8" w:rsidRDefault="001D05E8" w:rsidP="001D05E8">
            <w:pPr>
              <w:ind w:left="-108" w:right="-108"/>
              <w:jc w:val="center"/>
              <w:rPr>
                <w:b/>
                <w:sz w:val="18"/>
                <w:szCs w:val="18"/>
              </w:rPr>
            </w:pPr>
          </w:p>
        </w:tc>
        <w:tc>
          <w:tcPr>
            <w:tcW w:w="212" w:type="pct"/>
            <w:vMerge/>
            <w:shd w:val="clear" w:color="auto" w:fill="D9D9D9"/>
            <w:vAlign w:val="center"/>
          </w:tcPr>
          <w:p w:rsidR="001D05E8" w:rsidRPr="001D05E8" w:rsidRDefault="001D05E8" w:rsidP="001D05E8">
            <w:pPr>
              <w:ind w:left="-108" w:right="-108"/>
              <w:jc w:val="center"/>
              <w:rPr>
                <w:b/>
                <w:sz w:val="18"/>
                <w:szCs w:val="18"/>
              </w:rPr>
            </w:pPr>
          </w:p>
        </w:tc>
        <w:tc>
          <w:tcPr>
            <w:tcW w:w="230" w:type="pct"/>
            <w:vMerge/>
            <w:shd w:val="clear" w:color="auto" w:fill="D9D9D9"/>
            <w:vAlign w:val="center"/>
          </w:tcPr>
          <w:p w:rsidR="001D05E8" w:rsidRPr="001D05E8" w:rsidRDefault="001D05E8" w:rsidP="001D05E8">
            <w:pPr>
              <w:ind w:left="-108" w:right="-108"/>
              <w:jc w:val="center"/>
              <w:rPr>
                <w:b/>
                <w:sz w:val="18"/>
                <w:szCs w:val="18"/>
              </w:rPr>
            </w:pPr>
          </w:p>
        </w:tc>
        <w:tc>
          <w:tcPr>
            <w:tcW w:w="242" w:type="pc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държавна помощ</w:t>
            </w:r>
          </w:p>
        </w:tc>
        <w:tc>
          <w:tcPr>
            <w:tcW w:w="243" w:type="pc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минимална помощ</w:t>
            </w:r>
          </w:p>
        </w:tc>
        <w:tc>
          <w:tcPr>
            <w:tcW w:w="259" w:type="pc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минимален</w:t>
            </w:r>
          </w:p>
        </w:tc>
        <w:tc>
          <w:tcPr>
            <w:tcW w:w="297" w:type="pct"/>
            <w:shd w:val="clear" w:color="auto" w:fill="D9D9D9"/>
            <w:vAlign w:val="center"/>
          </w:tcPr>
          <w:p w:rsidR="001D05E8" w:rsidRPr="001D05E8" w:rsidRDefault="001D05E8" w:rsidP="001D05E8">
            <w:pPr>
              <w:ind w:left="-108" w:right="-108"/>
              <w:jc w:val="center"/>
              <w:rPr>
                <w:b/>
                <w:sz w:val="16"/>
                <w:szCs w:val="16"/>
              </w:rPr>
            </w:pPr>
            <w:r w:rsidRPr="001D05E8">
              <w:rPr>
                <w:b/>
                <w:sz w:val="16"/>
                <w:szCs w:val="16"/>
              </w:rPr>
              <w:t>максимален</w:t>
            </w:r>
          </w:p>
        </w:tc>
      </w:tr>
      <w:tr w:rsidR="00C23F62" w:rsidRPr="001D05E8" w:rsidTr="00D66DDD">
        <w:trPr>
          <w:trHeight w:val="274"/>
        </w:trPr>
        <w:tc>
          <w:tcPr>
            <w:tcW w:w="212" w:type="pct"/>
            <w:vAlign w:val="center"/>
          </w:tcPr>
          <w:p w:rsidR="001D05E8" w:rsidRPr="001D05E8" w:rsidRDefault="001D05E8" w:rsidP="001D05E8">
            <w:pPr>
              <w:ind w:left="-108" w:right="-108"/>
              <w:jc w:val="center"/>
              <w:rPr>
                <w:sz w:val="16"/>
                <w:szCs w:val="16"/>
              </w:rPr>
            </w:pPr>
            <w:r w:rsidRPr="001D05E8">
              <w:rPr>
                <w:sz w:val="16"/>
                <w:szCs w:val="16"/>
              </w:rPr>
              <w:t>1</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Подмярка 1.2. „Демонстраци</w:t>
            </w:r>
            <w:r w:rsidRPr="001D05E8">
              <w:rPr>
                <w:sz w:val="16"/>
                <w:szCs w:val="16"/>
              </w:rPr>
              <w:lastRenderedPageBreak/>
              <w:t>онни дейности и действия по осведомяване“</w:t>
            </w:r>
          </w:p>
        </w:tc>
        <w:tc>
          <w:tcPr>
            <w:tcW w:w="339" w:type="pct"/>
            <w:vAlign w:val="center"/>
          </w:tcPr>
          <w:p w:rsidR="001D05E8" w:rsidRPr="001D05E8" w:rsidRDefault="001D05E8" w:rsidP="001D05E8">
            <w:pPr>
              <w:ind w:left="-112" w:right="-108"/>
              <w:jc w:val="center"/>
              <w:rPr>
                <w:sz w:val="16"/>
                <w:szCs w:val="16"/>
              </w:rPr>
            </w:pPr>
            <w:r w:rsidRPr="001D05E8">
              <w:rPr>
                <w:sz w:val="16"/>
                <w:szCs w:val="16"/>
              </w:rPr>
              <w:lastRenderedPageBreak/>
              <w:t xml:space="preserve">Подпомагане на дейности по </w:t>
            </w:r>
            <w:r w:rsidRPr="001D05E8">
              <w:rPr>
                <w:sz w:val="16"/>
                <w:szCs w:val="16"/>
              </w:rPr>
              <w:lastRenderedPageBreak/>
              <w:t>организирането и провеждането на демонстрационни дейности в областта на селското стопанство и горското стопанство.</w:t>
            </w:r>
          </w:p>
        </w:tc>
        <w:tc>
          <w:tcPr>
            <w:tcW w:w="297" w:type="pct"/>
            <w:vAlign w:val="center"/>
          </w:tcPr>
          <w:p w:rsidR="001D05E8" w:rsidRPr="001D05E8" w:rsidRDefault="001D05E8" w:rsidP="001D05E8">
            <w:pPr>
              <w:ind w:left="-112" w:right="-108"/>
              <w:jc w:val="center"/>
              <w:rPr>
                <w:sz w:val="16"/>
                <w:szCs w:val="16"/>
              </w:rPr>
            </w:pPr>
            <w:r w:rsidRPr="001D05E8">
              <w:rPr>
                <w:sz w:val="16"/>
                <w:szCs w:val="16"/>
              </w:rPr>
              <w:lastRenderedPageBreak/>
              <w:t xml:space="preserve">Подбор на проектни </w:t>
            </w:r>
            <w:r w:rsidRPr="001D05E8">
              <w:rPr>
                <w:sz w:val="16"/>
                <w:szCs w:val="16"/>
              </w:rPr>
              <w:lastRenderedPageBreak/>
              <w:t>предложения.</w:t>
            </w:r>
          </w:p>
        </w:tc>
        <w:tc>
          <w:tcPr>
            <w:tcW w:w="208" w:type="pct"/>
            <w:vAlign w:val="center"/>
          </w:tcPr>
          <w:p w:rsidR="001D05E8" w:rsidRPr="001D05E8" w:rsidRDefault="001D05E8" w:rsidP="001D05E8">
            <w:pPr>
              <w:ind w:left="-112" w:right="-108"/>
              <w:jc w:val="center"/>
              <w:rPr>
                <w:sz w:val="16"/>
                <w:szCs w:val="16"/>
              </w:rPr>
            </w:pPr>
            <w:r w:rsidRPr="001D05E8">
              <w:rPr>
                <w:sz w:val="16"/>
                <w:szCs w:val="16"/>
              </w:rPr>
              <w:lastRenderedPageBreak/>
              <w:t>Не</w:t>
            </w:r>
          </w:p>
        </w:tc>
        <w:tc>
          <w:tcPr>
            <w:tcW w:w="338" w:type="pct"/>
            <w:vAlign w:val="center"/>
          </w:tcPr>
          <w:p w:rsidR="001D05E8" w:rsidRPr="001D05E8" w:rsidRDefault="001D05E8" w:rsidP="001D05E8">
            <w:pPr>
              <w:ind w:left="-112" w:right="-108"/>
              <w:jc w:val="center"/>
              <w:rPr>
                <w:sz w:val="16"/>
                <w:szCs w:val="16"/>
              </w:rPr>
            </w:pPr>
            <w:r w:rsidRPr="001D05E8">
              <w:rPr>
                <w:sz w:val="16"/>
                <w:szCs w:val="16"/>
              </w:rPr>
              <w:t xml:space="preserve">До левовата равностойност </w:t>
            </w:r>
            <w:r w:rsidRPr="001D05E8">
              <w:rPr>
                <w:sz w:val="16"/>
                <w:szCs w:val="16"/>
              </w:rPr>
              <w:lastRenderedPageBreak/>
              <w:t>на         15 000 000   евро</w:t>
            </w:r>
          </w:p>
        </w:tc>
        <w:tc>
          <w:tcPr>
            <w:tcW w:w="483" w:type="pct"/>
            <w:vAlign w:val="center"/>
          </w:tcPr>
          <w:p w:rsidR="001D05E8" w:rsidRPr="001D05E8" w:rsidRDefault="001D05E8" w:rsidP="001D05E8">
            <w:pPr>
              <w:ind w:left="-112" w:right="-108"/>
              <w:jc w:val="center"/>
              <w:rPr>
                <w:sz w:val="16"/>
                <w:szCs w:val="16"/>
              </w:rPr>
            </w:pPr>
            <w:r w:rsidRPr="001D05E8">
              <w:rPr>
                <w:sz w:val="16"/>
                <w:szCs w:val="16"/>
              </w:rPr>
              <w:lastRenderedPageBreak/>
              <w:t xml:space="preserve">Организации, които предоставят трансфер </w:t>
            </w:r>
            <w:r w:rsidRPr="001D05E8">
              <w:rPr>
                <w:sz w:val="16"/>
                <w:szCs w:val="16"/>
              </w:rPr>
              <w:lastRenderedPageBreak/>
              <w:t>на знания чрез демонстрационни дейности. Организации, които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 които разполагат със собствени демонстрационни обекти от типа на учебно-опитни полета, изследователски опитни полета, учебни или изследователски лаборатории.</w:t>
            </w:r>
          </w:p>
        </w:tc>
        <w:tc>
          <w:tcPr>
            <w:tcW w:w="452" w:type="pct"/>
            <w:vAlign w:val="center"/>
          </w:tcPr>
          <w:p w:rsidR="001D05E8" w:rsidRPr="001D05E8" w:rsidRDefault="001D05E8" w:rsidP="001D05E8">
            <w:pPr>
              <w:ind w:left="-112" w:right="-108"/>
              <w:jc w:val="center"/>
              <w:rPr>
                <w:sz w:val="16"/>
                <w:szCs w:val="16"/>
              </w:rPr>
            </w:pPr>
            <w:r w:rsidRPr="001D05E8">
              <w:rPr>
                <w:sz w:val="16"/>
                <w:szCs w:val="16"/>
              </w:rPr>
              <w:lastRenderedPageBreak/>
              <w:t xml:space="preserve">Дейности по организиране и </w:t>
            </w:r>
            <w:r w:rsidRPr="001D05E8">
              <w:rPr>
                <w:sz w:val="16"/>
                <w:szCs w:val="16"/>
              </w:rPr>
              <w:lastRenderedPageBreak/>
              <w:t>провеждане на обучения, за демонстрационни дейности. Разходи за инвестиции, които могат да включват разходи за закупуване или вземане на лизинг на нови машини и оборудване до пазарната цена на актива.</w:t>
            </w:r>
            <w:r w:rsidRPr="001D05E8">
              <w:t xml:space="preserve"> </w:t>
            </w:r>
            <w:r w:rsidRPr="001D05E8">
              <w:rPr>
                <w:sz w:val="16"/>
                <w:szCs w:val="16"/>
              </w:rPr>
              <w:t>Необходимостта от инвестицията се обосновава съобразно условията на демонстрационния обект и темите на демонстрационните дейности</w:t>
            </w:r>
          </w:p>
        </w:tc>
        <w:tc>
          <w:tcPr>
            <w:tcW w:w="636" w:type="pct"/>
            <w:vAlign w:val="center"/>
          </w:tcPr>
          <w:p w:rsidR="001D05E8" w:rsidRPr="001D05E8" w:rsidRDefault="001D05E8" w:rsidP="001D05E8">
            <w:pPr>
              <w:ind w:left="-112" w:right="-108"/>
              <w:rPr>
                <w:sz w:val="16"/>
                <w:szCs w:val="16"/>
              </w:rPr>
            </w:pPr>
            <w:r w:rsidRPr="001D05E8">
              <w:rPr>
                <w:sz w:val="16"/>
                <w:szCs w:val="16"/>
              </w:rPr>
              <w:lastRenderedPageBreak/>
              <w:t xml:space="preserve">Бенефициентите по подмярката получават </w:t>
            </w:r>
            <w:r w:rsidRPr="001D05E8">
              <w:rPr>
                <w:sz w:val="16"/>
                <w:szCs w:val="16"/>
              </w:rPr>
              <w:lastRenderedPageBreak/>
              <w:t>безвъзмездна помощ, която се отпуска под формата на стандартни разходи за извършването на различни демонстрационни дейности:</w:t>
            </w:r>
          </w:p>
          <w:p w:rsidR="001D05E8" w:rsidRPr="001D05E8" w:rsidRDefault="001D05E8" w:rsidP="001D05E8">
            <w:pPr>
              <w:ind w:left="-112" w:right="-108"/>
              <w:rPr>
                <w:sz w:val="16"/>
                <w:szCs w:val="16"/>
              </w:rPr>
            </w:pPr>
            <w:r w:rsidRPr="001D05E8">
              <w:rPr>
                <w:sz w:val="16"/>
                <w:szCs w:val="16"/>
              </w:rPr>
              <w:t xml:space="preserve">Разходи за инвестиции. </w:t>
            </w:r>
          </w:p>
          <w:p w:rsidR="001D05E8" w:rsidRPr="001D05E8" w:rsidRDefault="001D05E8" w:rsidP="001D05E8">
            <w:pPr>
              <w:ind w:left="-112" w:right="-108"/>
              <w:rPr>
                <w:sz w:val="16"/>
                <w:szCs w:val="16"/>
              </w:rPr>
            </w:pPr>
            <w:r w:rsidRPr="001D05E8">
              <w:rPr>
                <w:sz w:val="16"/>
                <w:szCs w:val="16"/>
              </w:rPr>
              <w:t>Допустимите разходи по отношение на инвестициите трябва да отговарят на изискванията на чл. 45 от Регламент (ЕС) №1305/2013.</w:t>
            </w:r>
          </w:p>
        </w:tc>
        <w:tc>
          <w:tcPr>
            <w:tcW w:w="254" w:type="pct"/>
            <w:vAlign w:val="center"/>
          </w:tcPr>
          <w:p w:rsidR="001D05E8" w:rsidRPr="001D05E8" w:rsidRDefault="001D05E8" w:rsidP="001D05E8">
            <w:pPr>
              <w:ind w:left="-112" w:right="-108"/>
              <w:jc w:val="center"/>
              <w:rPr>
                <w:sz w:val="16"/>
                <w:szCs w:val="16"/>
              </w:rPr>
            </w:pPr>
            <w:r w:rsidRPr="001D05E8">
              <w:rPr>
                <w:sz w:val="16"/>
                <w:szCs w:val="16"/>
              </w:rPr>
              <w:lastRenderedPageBreak/>
              <w:t>100%</w:t>
            </w:r>
          </w:p>
        </w:tc>
        <w:tc>
          <w:tcPr>
            <w:tcW w:w="212" w:type="pct"/>
            <w:vAlign w:val="center"/>
          </w:tcPr>
          <w:p w:rsidR="001D05E8" w:rsidRPr="001D05E8" w:rsidRDefault="001D05E8" w:rsidP="001D05E8">
            <w:pPr>
              <w:ind w:left="-112" w:right="-108"/>
              <w:jc w:val="center"/>
              <w:rPr>
                <w:sz w:val="16"/>
                <w:szCs w:val="16"/>
              </w:rPr>
            </w:pPr>
            <w:r w:rsidRPr="001D05E8">
              <w:rPr>
                <w:sz w:val="16"/>
                <w:szCs w:val="16"/>
              </w:rPr>
              <w:t xml:space="preserve">Октомври </w:t>
            </w:r>
          </w:p>
          <w:p w:rsidR="001D05E8" w:rsidRPr="001D05E8" w:rsidRDefault="001D05E8" w:rsidP="001D05E8">
            <w:pPr>
              <w:ind w:left="-112" w:right="-108"/>
              <w:jc w:val="center"/>
              <w:rPr>
                <w:sz w:val="16"/>
                <w:szCs w:val="16"/>
              </w:rPr>
            </w:pPr>
            <w:r w:rsidRPr="001D05E8">
              <w:rPr>
                <w:sz w:val="16"/>
                <w:szCs w:val="16"/>
              </w:rPr>
              <w:t>2020 г.</w:t>
            </w:r>
          </w:p>
        </w:tc>
        <w:tc>
          <w:tcPr>
            <w:tcW w:w="230" w:type="pct"/>
            <w:vAlign w:val="center"/>
          </w:tcPr>
          <w:p w:rsidR="001D05E8" w:rsidRPr="001D05E8" w:rsidRDefault="001D05E8" w:rsidP="001D05E8">
            <w:pPr>
              <w:ind w:left="-112" w:right="-108"/>
              <w:jc w:val="center"/>
              <w:rPr>
                <w:sz w:val="16"/>
                <w:szCs w:val="16"/>
              </w:rPr>
            </w:pPr>
            <w:r w:rsidRPr="001D05E8">
              <w:rPr>
                <w:sz w:val="16"/>
                <w:szCs w:val="16"/>
              </w:rPr>
              <w:t>Ноември</w:t>
            </w:r>
          </w:p>
          <w:p w:rsidR="001D05E8" w:rsidRPr="001D05E8" w:rsidRDefault="001D05E8" w:rsidP="001D05E8">
            <w:pPr>
              <w:ind w:left="-112" w:right="-108"/>
              <w:jc w:val="center"/>
              <w:rPr>
                <w:sz w:val="16"/>
                <w:szCs w:val="16"/>
              </w:rPr>
            </w:pPr>
            <w:r w:rsidRPr="001D05E8">
              <w:rPr>
                <w:sz w:val="16"/>
                <w:szCs w:val="16"/>
              </w:rPr>
              <w:t xml:space="preserve"> 2020 г.</w:t>
            </w:r>
          </w:p>
        </w:tc>
        <w:tc>
          <w:tcPr>
            <w:tcW w:w="242"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vAlign w:val="center"/>
          </w:tcPr>
          <w:p w:rsidR="001D05E8" w:rsidRPr="001D05E8" w:rsidRDefault="001D05E8" w:rsidP="001D05E8">
            <w:pPr>
              <w:ind w:left="-108" w:right="-85"/>
              <w:jc w:val="center"/>
              <w:rPr>
                <w:sz w:val="16"/>
                <w:szCs w:val="16"/>
              </w:rPr>
            </w:pPr>
            <w:r w:rsidRPr="001D05E8">
              <w:rPr>
                <w:sz w:val="16"/>
                <w:szCs w:val="16"/>
              </w:rPr>
              <w:t>Непр.</w:t>
            </w:r>
          </w:p>
        </w:tc>
        <w:tc>
          <w:tcPr>
            <w:tcW w:w="297" w:type="pct"/>
            <w:vAlign w:val="center"/>
          </w:tcPr>
          <w:p w:rsidR="001D05E8" w:rsidRPr="001D05E8" w:rsidRDefault="001D05E8" w:rsidP="001D05E8">
            <w:pPr>
              <w:ind w:left="-108" w:right="-85"/>
              <w:jc w:val="center"/>
              <w:rPr>
                <w:sz w:val="16"/>
                <w:szCs w:val="16"/>
              </w:rPr>
            </w:pPr>
            <w:r w:rsidRPr="001D05E8">
              <w:rPr>
                <w:sz w:val="16"/>
                <w:szCs w:val="16"/>
              </w:rPr>
              <w:t>Левовата равностойнос</w:t>
            </w:r>
            <w:r w:rsidRPr="001D05E8">
              <w:rPr>
                <w:sz w:val="16"/>
                <w:szCs w:val="16"/>
              </w:rPr>
              <w:lastRenderedPageBreak/>
              <w:t xml:space="preserve">т на </w:t>
            </w:r>
          </w:p>
          <w:p w:rsidR="001D05E8" w:rsidRPr="001D05E8" w:rsidRDefault="001D05E8" w:rsidP="001D05E8">
            <w:pPr>
              <w:ind w:left="-108" w:right="-85"/>
              <w:jc w:val="center"/>
              <w:rPr>
                <w:sz w:val="16"/>
                <w:szCs w:val="16"/>
              </w:rPr>
            </w:pPr>
            <w:r w:rsidRPr="001D05E8">
              <w:rPr>
                <w:sz w:val="16"/>
                <w:szCs w:val="16"/>
              </w:rPr>
              <w:t>100 000 евро</w:t>
            </w:r>
            <w:r w:rsidR="00995AD9">
              <w:rPr>
                <w:sz w:val="16"/>
                <w:szCs w:val="16"/>
              </w:rPr>
              <w:t xml:space="preserve"> за инвес</w:t>
            </w:r>
            <w:r w:rsidR="001058C9">
              <w:rPr>
                <w:sz w:val="16"/>
                <w:szCs w:val="16"/>
              </w:rPr>
              <w:t>тиционни разходи, включени в ед</w:t>
            </w:r>
            <w:r w:rsidR="00995AD9">
              <w:rPr>
                <w:sz w:val="16"/>
                <w:szCs w:val="16"/>
              </w:rPr>
              <w:t>н</w:t>
            </w:r>
            <w:r w:rsidR="001058C9">
              <w:rPr>
                <w:sz w:val="16"/>
                <w:szCs w:val="16"/>
              </w:rPr>
              <w:t>о</w:t>
            </w:r>
            <w:r w:rsidR="00995AD9">
              <w:rPr>
                <w:sz w:val="16"/>
                <w:szCs w:val="16"/>
              </w:rPr>
              <w:t xml:space="preserve"> проект</w:t>
            </w:r>
            <w:r w:rsidR="001058C9">
              <w:rPr>
                <w:sz w:val="16"/>
                <w:szCs w:val="16"/>
              </w:rPr>
              <w:t>но предложение</w:t>
            </w:r>
          </w:p>
        </w:tc>
      </w:tr>
      <w:tr w:rsidR="00C23F62" w:rsidRPr="001D05E8" w:rsidTr="00D66DDD">
        <w:tc>
          <w:tcPr>
            <w:tcW w:w="212" w:type="pct"/>
            <w:vAlign w:val="center"/>
          </w:tcPr>
          <w:p w:rsidR="001D05E8" w:rsidRPr="001D05E8" w:rsidRDefault="001D05E8" w:rsidP="001D05E8">
            <w:pPr>
              <w:ind w:left="-108" w:right="-108"/>
              <w:jc w:val="center"/>
              <w:rPr>
                <w:sz w:val="16"/>
                <w:szCs w:val="16"/>
              </w:rPr>
            </w:pPr>
            <w:r w:rsidRPr="001D05E8">
              <w:rPr>
                <w:sz w:val="16"/>
                <w:szCs w:val="16"/>
              </w:rPr>
              <w:lastRenderedPageBreak/>
              <w:t>2</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Подмярка 2.2 „Създаване на консултантски услуги“</w:t>
            </w:r>
          </w:p>
        </w:tc>
        <w:tc>
          <w:tcPr>
            <w:tcW w:w="339" w:type="pct"/>
            <w:vAlign w:val="center"/>
          </w:tcPr>
          <w:p w:rsidR="001D05E8" w:rsidRPr="001D05E8" w:rsidRDefault="001D05E8" w:rsidP="001D05E8">
            <w:pPr>
              <w:ind w:left="-112" w:right="-108"/>
              <w:jc w:val="center"/>
              <w:rPr>
                <w:sz w:val="16"/>
                <w:szCs w:val="16"/>
              </w:rPr>
            </w:pPr>
            <w:r w:rsidRPr="001D05E8">
              <w:rPr>
                <w:sz w:val="16"/>
                <w:szCs w:val="16"/>
              </w:rPr>
              <w:t xml:space="preserve">Дейностите по подмярката ще допринесат за удовлетворяване на идентифицираните в стратегията потребностите относно: повишаване квалификацията и управленските умения на земеделските производители; </w:t>
            </w:r>
            <w:r w:rsidRPr="001D05E8">
              <w:rPr>
                <w:sz w:val="16"/>
                <w:szCs w:val="16"/>
              </w:rPr>
              <w:lastRenderedPageBreak/>
              <w:t>повишаване на тяхната осведоменост и подобряване на управлението на риска.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w:t>
            </w:r>
          </w:p>
          <w:p w:rsidR="001D05E8" w:rsidRPr="001D05E8" w:rsidRDefault="001D05E8" w:rsidP="001D05E8">
            <w:pPr>
              <w:ind w:left="-112" w:right="-108"/>
              <w:jc w:val="center"/>
              <w:rPr>
                <w:sz w:val="16"/>
                <w:szCs w:val="16"/>
              </w:rPr>
            </w:pPr>
          </w:p>
        </w:tc>
        <w:tc>
          <w:tcPr>
            <w:tcW w:w="297" w:type="pct"/>
            <w:vAlign w:val="center"/>
          </w:tcPr>
          <w:p w:rsidR="001D05E8" w:rsidRPr="001D05E8" w:rsidRDefault="00995AD9" w:rsidP="001D05E8">
            <w:pPr>
              <w:ind w:left="-112" w:right="-108"/>
              <w:jc w:val="center"/>
              <w:rPr>
                <w:sz w:val="16"/>
                <w:szCs w:val="16"/>
              </w:rPr>
            </w:pPr>
            <w:r>
              <w:rPr>
                <w:sz w:val="16"/>
                <w:szCs w:val="16"/>
              </w:rPr>
              <w:lastRenderedPageBreak/>
              <w:t>Подбор на проектни предложения</w:t>
            </w:r>
          </w:p>
        </w:tc>
        <w:tc>
          <w:tcPr>
            <w:tcW w:w="208"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6 000 000 евро</w:t>
            </w:r>
          </w:p>
        </w:tc>
        <w:tc>
          <w:tcPr>
            <w:tcW w:w="483" w:type="pct"/>
            <w:vAlign w:val="center"/>
          </w:tcPr>
          <w:p w:rsidR="001D05E8" w:rsidRPr="001D05E8" w:rsidRDefault="001D05E8" w:rsidP="001D05E8">
            <w:pPr>
              <w:ind w:left="-112" w:right="-108"/>
              <w:jc w:val="center"/>
              <w:rPr>
                <w:sz w:val="16"/>
                <w:szCs w:val="16"/>
              </w:rPr>
            </w:pPr>
            <w:r w:rsidRPr="001D05E8">
              <w:rPr>
                <w:sz w:val="16"/>
                <w:szCs w:val="16"/>
              </w:rPr>
              <w:t>Национална служба за съвети в земеделието (НССЗ)</w:t>
            </w:r>
          </w:p>
        </w:tc>
        <w:tc>
          <w:tcPr>
            <w:tcW w:w="452" w:type="pct"/>
            <w:vAlign w:val="center"/>
          </w:tcPr>
          <w:p w:rsidR="001D05E8" w:rsidRPr="001D05E8" w:rsidRDefault="001D05E8" w:rsidP="001D05E8">
            <w:pPr>
              <w:ind w:left="-112" w:right="-108"/>
              <w:jc w:val="center"/>
              <w:rPr>
                <w:sz w:val="16"/>
                <w:szCs w:val="16"/>
              </w:rPr>
            </w:pPr>
            <w:r w:rsidRPr="001D05E8">
              <w:rPr>
                <w:sz w:val="16"/>
                <w:szCs w:val="16"/>
              </w:rPr>
              <w:t xml:space="preserve">Подпомага се създаването в България на консултантски капацитет на общински ниво чрез разширяването на териториалния обхват на НССЗ и създаване на мобилни общински центрове (офиси)  за консултантски услуги към НССЗ – до 50 общински центъра с по 2-ма съветници, </w:t>
            </w:r>
            <w:r w:rsidRPr="001D05E8">
              <w:rPr>
                <w:sz w:val="16"/>
                <w:szCs w:val="16"/>
              </w:rPr>
              <w:lastRenderedPageBreak/>
              <w:t>отделно по 1  регионален координатор за районите на планиране  и 2 координатори на централно ниво.</w:t>
            </w:r>
          </w:p>
          <w:p w:rsidR="001D05E8" w:rsidRPr="001D05E8" w:rsidRDefault="001D05E8" w:rsidP="001D05E8">
            <w:pPr>
              <w:ind w:left="-112" w:right="-108"/>
              <w:jc w:val="center"/>
              <w:rPr>
                <w:sz w:val="16"/>
                <w:szCs w:val="16"/>
              </w:rPr>
            </w:pPr>
          </w:p>
        </w:tc>
        <w:tc>
          <w:tcPr>
            <w:tcW w:w="636" w:type="pct"/>
            <w:vAlign w:val="center"/>
          </w:tcPr>
          <w:p w:rsidR="001D05E8" w:rsidRPr="001D05E8" w:rsidRDefault="001D05E8" w:rsidP="00995AD9">
            <w:pPr>
              <w:ind w:right="-108"/>
              <w:rPr>
                <w:sz w:val="16"/>
                <w:szCs w:val="16"/>
              </w:rPr>
            </w:pPr>
            <w:r w:rsidRPr="001D05E8">
              <w:rPr>
                <w:sz w:val="16"/>
                <w:szCs w:val="16"/>
              </w:rPr>
              <w:lastRenderedPageBreak/>
              <w:t>Разходи за дълготрайни материални и нематериални активи стриктно свързани с мобилните общинските центрове; оперативни разходи свързани със създаването и функционирането на мобилните общинските центрове; разходи за служителите – съветници и координатори; разходи за информационни материали и за информационни мероприятия свързани с дейността на центровете.</w:t>
            </w:r>
          </w:p>
        </w:tc>
        <w:tc>
          <w:tcPr>
            <w:tcW w:w="254" w:type="pct"/>
            <w:vAlign w:val="center"/>
          </w:tcPr>
          <w:p w:rsidR="001D05E8" w:rsidRDefault="00EA15FB" w:rsidP="001D05E8">
            <w:pPr>
              <w:ind w:left="-112" w:right="-108"/>
              <w:jc w:val="center"/>
              <w:rPr>
                <w:sz w:val="16"/>
                <w:szCs w:val="16"/>
              </w:rPr>
            </w:pPr>
            <w:r>
              <w:rPr>
                <w:sz w:val="16"/>
                <w:szCs w:val="16"/>
              </w:rPr>
              <w:t>9</w:t>
            </w:r>
            <w:r w:rsidRPr="001D05E8">
              <w:rPr>
                <w:sz w:val="16"/>
                <w:szCs w:val="16"/>
              </w:rPr>
              <w:t>0</w:t>
            </w:r>
            <w:r w:rsidR="001D05E8" w:rsidRPr="001D05E8">
              <w:rPr>
                <w:sz w:val="16"/>
                <w:szCs w:val="16"/>
              </w:rPr>
              <w:t>-100%</w:t>
            </w:r>
          </w:p>
          <w:p w:rsidR="00EA15FB" w:rsidRDefault="001058C9" w:rsidP="001D05E8">
            <w:pPr>
              <w:ind w:left="-112" w:right="-108"/>
              <w:jc w:val="center"/>
              <w:rPr>
                <w:sz w:val="16"/>
                <w:szCs w:val="16"/>
              </w:rPr>
            </w:pPr>
            <w:r>
              <w:rPr>
                <w:sz w:val="16"/>
                <w:szCs w:val="16"/>
              </w:rPr>
              <w:t>(</w:t>
            </w:r>
            <w:r w:rsidR="00EA15FB">
              <w:rPr>
                <w:sz w:val="16"/>
                <w:szCs w:val="16"/>
              </w:rPr>
              <w:t>100 % от одобрените разходи за 1-ва година;</w:t>
            </w:r>
          </w:p>
          <w:p w:rsidR="00EA15FB" w:rsidRDefault="00EA15FB" w:rsidP="001D05E8">
            <w:pPr>
              <w:ind w:left="-112" w:right="-108"/>
              <w:jc w:val="center"/>
              <w:rPr>
                <w:sz w:val="16"/>
                <w:szCs w:val="16"/>
              </w:rPr>
            </w:pPr>
            <w:r>
              <w:rPr>
                <w:sz w:val="16"/>
                <w:szCs w:val="16"/>
              </w:rPr>
              <w:t>95 % от одобрените разходи за втора година;</w:t>
            </w:r>
          </w:p>
          <w:p w:rsidR="00EA15FB" w:rsidRPr="001D05E8" w:rsidRDefault="00EA15FB" w:rsidP="001D05E8">
            <w:pPr>
              <w:ind w:left="-112" w:right="-108"/>
              <w:jc w:val="center"/>
              <w:rPr>
                <w:sz w:val="16"/>
                <w:szCs w:val="16"/>
              </w:rPr>
            </w:pPr>
            <w:r>
              <w:rPr>
                <w:sz w:val="16"/>
                <w:szCs w:val="16"/>
              </w:rPr>
              <w:t>90 % от одобрените разходи за трета година</w:t>
            </w:r>
            <w:r w:rsidR="001058C9">
              <w:rPr>
                <w:sz w:val="16"/>
                <w:szCs w:val="16"/>
              </w:rPr>
              <w:t>)</w:t>
            </w:r>
          </w:p>
        </w:tc>
        <w:tc>
          <w:tcPr>
            <w:tcW w:w="212" w:type="pct"/>
            <w:vAlign w:val="center"/>
          </w:tcPr>
          <w:p w:rsidR="001D05E8" w:rsidRPr="001D05E8" w:rsidRDefault="001D05E8" w:rsidP="001D05E8">
            <w:pPr>
              <w:ind w:left="-112" w:right="-108"/>
              <w:jc w:val="center"/>
              <w:rPr>
                <w:sz w:val="16"/>
                <w:szCs w:val="16"/>
              </w:rPr>
            </w:pPr>
            <w:r w:rsidRPr="001D05E8">
              <w:rPr>
                <w:sz w:val="16"/>
                <w:szCs w:val="16"/>
              </w:rPr>
              <w:t>Октомври</w:t>
            </w:r>
          </w:p>
          <w:p w:rsidR="001D05E8" w:rsidRPr="001D05E8" w:rsidRDefault="001D05E8" w:rsidP="001D05E8">
            <w:pPr>
              <w:ind w:left="-112" w:right="-108"/>
              <w:jc w:val="center"/>
              <w:rPr>
                <w:sz w:val="16"/>
                <w:szCs w:val="16"/>
              </w:rPr>
            </w:pPr>
            <w:r w:rsidRPr="001D05E8">
              <w:rPr>
                <w:sz w:val="16"/>
                <w:szCs w:val="16"/>
              </w:rPr>
              <w:t>2020 г.</w:t>
            </w:r>
          </w:p>
        </w:tc>
        <w:tc>
          <w:tcPr>
            <w:tcW w:w="230" w:type="pct"/>
            <w:vAlign w:val="center"/>
          </w:tcPr>
          <w:p w:rsidR="001D05E8" w:rsidRPr="001D05E8" w:rsidRDefault="001D05E8" w:rsidP="001D05E8">
            <w:pPr>
              <w:ind w:left="-112" w:right="-108"/>
              <w:jc w:val="center"/>
              <w:rPr>
                <w:sz w:val="16"/>
                <w:szCs w:val="16"/>
              </w:rPr>
            </w:pPr>
            <w:r w:rsidRPr="001D05E8">
              <w:rPr>
                <w:sz w:val="16"/>
                <w:szCs w:val="16"/>
              </w:rPr>
              <w:t>Ноември</w:t>
            </w:r>
          </w:p>
          <w:p w:rsidR="001D05E8" w:rsidRPr="001D05E8" w:rsidRDefault="001D05E8" w:rsidP="001D05E8">
            <w:pPr>
              <w:ind w:left="-112" w:right="-108"/>
              <w:jc w:val="center"/>
              <w:rPr>
                <w:sz w:val="16"/>
                <w:szCs w:val="16"/>
              </w:rPr>
            </w:pPr>
            <w:r w:rsidRPr="001D05E8">
              <w:rPr>
                <w:sz w:val="16"/>
                <w:szCs w:val="16"/>
              </w:rPr>
              <w:t>2020 г.</w:t>
            </w:r>
          </w:p>
        </w:tc>
        <w:tc>
          <w:tcPr>
            <w:tcW w:w="242"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vAlign w:val="center"/>
          </w:tcPr>
          <w:p w:rsidR="001D05E8" w:rsidRPr="001D05E8" w:rsidRDefault="001D05E8" w:rsidP="001D05E8">
            <w:pPr>
              <w:ind w:left="-112" w:right="-108"/>
              <w:jc w:val="center"/>
              <w:rPr>
                <w:sz w:val="16"/>
                <w:szCs w:val="16"/>
              </w:rPr>
            </w:pPr>
            <w:r w:rsidRPr="001D05E8">
              <w:rPr>
                <w:sz w:val="16"/>
                <w:szCs w:val="16"/>
              </w:rPr>
              <w:t>Непр.</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Максималния размер на допустимите разходи</w:t>
            </w:r>
            <w:r w:rsidR="001058C9">
              <w:rPr>
                <w:sz w:val="16"/>
                <w:szCs w:val="16"/>
              </w:rPr>
              <w:t xml:space="preserve"> за едно проектно предложение - </w:t>
            </w:r>
            <w:r w:rsidR="00995AD9">
              <w:rPr>
                <w:sz w:val="16"/>
                <w:szCs w:val="16"/>
              </w:rPr>
              <w:t xml:space="preserve"> 6 000 000 евро</w:t>
            </w:r>
            <w:r w:rsidR="00EA15FB">
              <w:rPr>
                <w:sz w:val="16"/>
                <w:szCs w:val="16"/>
              </w:rPr>
              <w:t xml:space="preserve"> </w:t>
            </w:r>
          </w:p>
          <w:p w:rsidR="001D05E8" w:rsidRPr="001D05E8" w:rsidRDefault="001D05E8" w:rsidP="001D05E8">
            <w:pPr>
              <w:ind w:left="-112" w:right="-108"/>
              <w:jc w:val="center"/>
              <w:rPr>
                <w:sz w:val="16"/>
                <w:szCs w:val="16"/>
              </w:rPr>
            </w:pPr>
          </w:p>
        </w:tc>
      </w:tr>
      <w:tr w:rsidR="00C23F62" w:rsidRPr="001D05E8" w:rsidTr="00D66DDD">
        <w:tc>
          <w:tcPr>
            <w:tcW w:w="212" w:type="pct"/>
            <w:vAlign w:val="center"/>
          </w:tcPr>
          <w:p w:rsidR="001D05E8" w:rsidRPr="001D05E8" w:rsidRDefault="001D05E8" w:rsidP="001D05E8">
            <w:pPr>
              <w:ind w:left="-108" w:right="-108"/>
              <w:jc w:val="center"/>
              <w:rPr>
                <w:sz w:val="16"/>
                <w:szCs w:val="16"/>
              </w:rPr>
            </w:pPr>
            <w:r w:rsidRPr="001D05E8">
              <w:rPr>
                <w:sz w:val="16"/>
                <w:szCs w:val="16"/>
              </w:rPr>
              <w:lastRenderedPageBreak/>
              <w:t>3.</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Подмярка 4.1 „Инвестиции в земеделски стопанства“</w:t>
            </w:r>
          </w:p>
        </w:tc>
        <w:tc>
          <w:tcPr>
            <w:tcW w:w="339" w:type="pct"/>
            <w:vAlign w:val="center"/>
          </w:tcPr>
          <w:p w:rsidR="001D05E8" w:rsidRPr="001D05E8" w:rsidRDefault="001D05E8" w:rsidP="001D05E8">
            <w:pPr>
              <w:ind w:left="-112" w:right="-108"/>
              <w:jc w:val="center"/>
              <w:rPr>
                <w:sz w:val="16"/>
                <w:szCs w:val="16"/>
              </w:rPr>
            </w:pPr>
            <w:r w:rsidRPr="001D05E8">
              <w:rPr>
                <w:sz w:val="16"/>
                <w:szCs w:val="16"/>
              </w:rPr>
              <w:t>Модернизиране на физическите активи на земеделски стопанства</w:t>
            </w:r>
          </w:p>
        </w:tc>
        <w:tc>
          <w:tcPr>
            <w:tcW w:w="297" w:type="pct"/>
            <w:vAlign w:val="center"/>
          </w:tcPr>
          <w:p w:rsidR="001D05E8" w:rsidRPr="001D05E8" w:rsidRDefault="001D05E8" w:rsidP="001D05E8">
            <w:pPr>
              <w:ind w:left="-112" w:right="-108"/>
              <w:jc w:val="center"/>
              <w:rPr>
                <w:sz w:val="16"/>
                <w:szCs w:val="16"/>
              </w:rPr>
            </w:pPr>
            <w:r w:rsidRPr="001D05E8">
              <w:rPr>
                <w:sz w:val="16"/>
                <w:szCs w:val="16"/>
              </w:rPr>
              <w:t>Целеви прием за земеделски стопани в сектор „Животновъдство“</w:t>
            </w:r>
          </w:p>
        </w:tc>
        <w:tc>
          <w:tcPr>
            <w:tcW w:w="208" w:type="pct"/>
            <w:vAlign w:val="center"/>
          </w:tcPr>
          <w:p w:rsidR="001D05E8" w:rsidRPr="001D05E8" w:rsidRDefault="001D05E8" w:rsidP="001D05E8">
            <w:pPr>
              <w:ind w:left="-112" w:right="-108"/>
              <w:jc w:val="center"/>
              <w:rPr>
                <w:sz w:val="16"/>
                <w:szCs w:val="16"/>
              </w:rPr>
            </w:pPr>
            <w:r w:rsidRPr="001D05E8">
              <w:rPr>
                <w:sz w:val="16"/>
                <w:szCs w:val="16"/>
              </w:rPr>
              <w:t xml:space="preserve">Не </w:t>
            </w:r>
          </w:p>
        </w:tc>
        <w:tc>
          <w:tcPr>
            <w:tcW w:w="338" w:type="pct"/>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31 500 000   евро</w:t>
            </w:r>
          </w:p>
        </w:tc>
        <w:tc>
          <w:tcPr>
            <w:tcW w:w="483" w:type="pct"/>
            <w:vAlign w:val="center"/>
          </w:tcPr>
          <w:p w:rsidR="001D05E8" w:rsidRPr="001D05E8" w:rsidRDefault="001D05E8" w:rsidP="001D05E8">
            <w:pPr>
              <w:ind w:left="-112" w:right="-108"/>
              <w:jc w:val="center"/>
              <w:rPr>
                <w:sz w:val="16"/>
                <w:szCs w:val="16"/>
              </w:rPr>
            </w:pPr>
            <w:r w:rsidRPr="001D05E8">
              <w:rPr>
                <w:sz w:val="16"/>
                <w:szCs w:val="16"/>
              </w:rPr>
              <w:t>Земеделски стопани от сектор „Животновъдство“</w:t>
            </w:r>
          </w:p>
        </w:tc>
        <w:tc>
          <w:tcPr>
            <w:tcW w:w="452" w:type="pct"/>
            <w:vAlign w:val="center"/>
          </w:tcPr>
          <w:p w:rsidR="001D05E8" w:rsidRPr="001D05E8" w:rsidRDefault="001D05E8" w:rsidP="001D05E8">
            <w:pPr>
              <w:ind w:left="-112" w:right="-108"/>
              <w:jc w:val="center"/>
              <w:rPr>
                <w:sz w:val="16"/>
                <w:szCs w:val="16"/>
              </w:rPr>
            </w:pPr>
            <w:r w:rsidRPr="001D05E8">
              <w:rPr>
                <w:sz w:val="16"/>
                <w:szCs w:val="16"/>
              </w:rPr>
              <w:t>Подпомагат се проекти, които водят до подобряване на цялостната дейност на земеделското стопанство (сектор Животновъдство)</w:t>
            </w:r>
          </w:p>
          <w:p w:rsidR="001D05E8" w:rsidRPr="001D05E8" w:rsidRDefault="001D05E8" w:rsidP="001D05E8">
            <w:pPr>
              <w:ind w:left="-112" w:right="-108"/>
              <w:jc w:val="center"/>
              <w:rPr>
                <w:sz w:val="16"/>
                <w:szCs w:val="16"/>
              </w:rPr>
            </w:pPr>
          </w:p>
        </w:tc>
        <w:tc>
          <w:tcPr>
            <w:tcW w:w="636" w:type="pct"/>
            <w:vAlign w:val="center"/>
          </w:tcPr>
          <w:p w:rsidR="001D05E8" w:rsidRPr="001D05E8" w:rsidRDefault="001D05E8" w:rsidP="001D05E8">
            <w:pPr>
              <w:ind w:left="-112" w:right="-108"/>
              <w:rPr>
                <w:sz w:val="16"/>
                <w:szCs w:val="16"/>
              </w:rPr>
            </w:pPr>
            <w:r w:rsidRPr="001D05E8">
              <w:rPr>
                <w:sz w:val="16"/>
                <w:szCs w:val="16"/>
              </w:rPr>
              <w:t xml:space="preserve">Строителство или обновяване на сгради и на друга недвижима собственост, използвана за земеделското производство; закупуване, включително чрез финансов лизинг, и/или инсталиране на нови машини, съоръжения и оборудване; </w:t>
            </w:r>
            <w:r w:rsidRPr="001D05E8">
              <w:rPr>
                <w:sz w:val="16"/>
                <w:szCs w:val="16"/>
                <w:shd w:val="clear" w:color="auto" w:fill="FEFEFE"/>
              </w:rPr>
              <w:t xml:space="preserve">закупуване на земя и сгради, необходими за изпълнение на проекта във връзка с изграждане и/или модернизиране на сгради, помещения и други недвижими материални активи, предназначени за земеделските производствени </w:t>
            </w:r>
            <w:r w:rsidRPr="001D05E8">
              <w:rPr>
                <w:sz w:val="16"/>
                <w:szCs w:val="16"/>
                <w:shd w:val="clear" w:color="auto" w:fill="FEFEFE"/>
              </w:rPr>
              <w:lastRenderedPageBreak/>
              <w:t>дейности; закупуване, включително чрез финансов лизинг, на специализирани земеделски транспортни средства ; разходи за достигане на съответствие с международно признати стандарти; разходи за софтуер; общи разходи, свързани с проекта;</w:t>
            </w:r>
          </w:p>
        </w:tc>
        <w:tc>
          <w:tcPr>
            <w:tcW w:w="254" w:type="pct"/>
            <w:vAlign w:val="center"/>
          </w:tcPr>
          <w:p w:rsidR="001D05E8" w:rsidRPr="001D05E8" w:rsidRDefault="001D05E8" w:rsidP="001D05E8">
            <w:pPr>
              <w:ind w:left="-112" w:right="-108"/>
              <w:jc w:val="center"/>
              <w:rPr>
                <w:sz w:val="16"/>
                <w:szCs w:val="16"/>
              </w:rPr>
            </w:pPr>
            <w:r w:rsidRPr="001D05E8">
              <w:rPr>
                <w:sz w:val="16"/>
                <w:szCs w:val="16"/>
              </w:rPr>
              <w:lastRenderedPageBreak/>
              <w:t>50%</w:t>
            </w:r>
          </w:p>
        </w:tc>
        <w:tc>
          <w:tcPr>
            <w:tcW w:w="212" w:type="pct"/>
            <w:vAlign w:val="center"/>
          </w:tcPr>
          <w:p w:rsidR="001D05E8" w:rsidRPr="001D05E8" w:rsidRDefault="001D05E8" w:rsidP="001D05E8">
            <w:pPr>
              <w:ind w:left="-112" w:right="-108"/>
              <w:jc w:val="center"/>
              <w:rPr>
                <w:sz w:val="16"/>
                <w:szCs w:val="16"/>
              </w:rPr>
            </w:pPr>
            <w:r w:rsidRPr="001D05E8">
              <w:rPr>
                <w:sz w:val="16"/>
                <w:szCs w:val="16"/>
              </w:rPr>
              <w:t>Юли</w:t>
            </w:r>
          </w:p>
          <w:p w:rsidR="001D05E8" w:rsidRPr="001D05E8" w:rsidRDefault="001D05E8" w:rsidP="001D05E8">
            <w:pPr>
              <w:ind w:left="-112" w:right="-108"/>
              <w:jc w:val="center"/>
              <w:rPr>
                <w:sz w:val="16"/>
                <w:szCs w:val="16"/>
              </w:rPr>
            </w:pPr>
            <w:r w:rsidRPr="001D05E8">
              <w:rPr>
                <w:sz w:val="16"/>
                <w:szCs w:val="16"/>
              </w:rPr>
              <w:t>2020 г.</w:t>
            </w:r>
          </w:p>
        </w:tc>
        <w:tc>
          <w:tcPr>
            <w:tcW w:w="230" w:type="pct"/>
            <w:vAlign w:val="center"/>
          </w:tcPr>
          <w:p w:rsidR="001D05E8" w:rsidRPr="001D05E8" w:rsidRDefault="001D05E8" w:rsidP="001D05E8">
            <w:pPr>
              <w:ind w:left="-112" w:right="-108"/>
              <w:jc w:val="center"/>
              <w:rPr>
                <w:sz w:val="16"/>
                <w:szCs w:val="16"/>
              </w:rPr>
            </w:pPr>
            <w:r w:rsidRPr="001D05E8">
              <w:rPr>
                <w:sz w:val="16"/>
                <w:szCs w:val="16"/>
              </w:rPr>
              <w:t>Септември</w:t>
            </w:r>
          </w:p>
          <w:p w:rsidR="001D05E8" w:rsidRPr="001D05E8" w:rsidRDefault="001D05E8" w:rsidP="001D05E8">
            <w:pPr>
              <w:ind w:left="-112" w:right="-108"/>
              <w:jc w:val="center"/>
              <w:rPr>
                <w:sz w:val="16"/>
                <w:szCs w:val="16"/>
              </w:rPr>
            </w:pPr>
            <w:r w:rsidRPr="001D05E8">
              <w:rPr>
                <w:sz w:val="16"/>
                <w:szCs w:val="16"/>
              </w:rPr>
              <w:t>2020 г.</w:t>
            </w:r>
          </w:p>
        </w:tc>
        <w:tc>
          <w:tcPr>
            <w:tcW w:w="242"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vAlign w:val="center"/>
          </w:tcPr>
          <w:p w:rsidR="001D05E8" w:rsidRPr="001D05E8" w:rsidRDefault="001D05E8" w:rsidP="001D05E8">
            <w:pPr>
              <w:ind w:left="-112" w:right="-108"/>
              <w:jc w:val="center"/>
              <w:rPr>
                <w:sz w:val="16"/>
                <w:szCs w:val="16"/>
              </w:rPr>
            </w:pPr>
            <w:r w:rsidRPr="001D05E8">
              <w:rPr>
                <w:sz w:val="16"/>
                <w:szCs w:val="16"/>
              </w:rPr>
              <w:t>Левовата равностойност на 15 000 евро</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500 000 евро</w:t>
            </w:r>
          </w:p>
        </w:tc>
      </w:tr>
      <w:tr w:rsidR="00C23F62" w:rsidRPr="001D05E8" w:rsidTr="00D66DDD">
        <w:tc>
          <w:tcPr>
            <w:tcW w:w="212" w:type="pct"/>
            <w:vAlign w:val="center"/>
          </w:tcPr>
          <w:p w:rsidR="001D05E8" w:rsidRPr="001D05E8" w:rsidRDefault="001D05E8" w:rsidP="001D05E8">
            <w:pPr>
              <w:ind w:left="-108" w:right="-108"/>
              <w:jc w:val="center"/>
              <w:rPr>
                <w:sz w:val="16"/>
                <w:szCs w:val="16"/>
              </w:rPr>
            </w:pPr>
            <w:r w:rsidRPr="001D05E8">
              <w:rPr>
                <w:sz w:val="16"/>
                <w:szCs w:val="16"/>
              </w:rPr>
              <w:lastRenderedPageBreak/>
              <w:t>4.</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Подмярка 4.1.2. "Инвестиции в земеделски стопанства по Тематична подпрограма за развитие на малки стопанства"</w:t>
            </w:r>
          </w:p>
        </w:tc>
        <w:tc>
          <w:tcPr>
            <w:tcW w:w="339" w:type="pct"/>
            <w:vAlign w:val="center"/>
          </w:tcPr>
          <w:p w:rsidR="001D05E8" w:rsidRPr="001D05E8" w:rsidRDefault="001D05E8" w:rsidP="001D05E8">
            <w:pPr>
              <w:ind w:left="-112" w:right="-108"/>
              <w:jc w:val="center"/>
              <w:rPr>
                <w:sz w:val="16"/>
                <w:szCs w:val="16"/>
              </w:rPr>
            </w:pPr>
            <w:r w:rsidRPr="001D05E8">
              <w:rPr>
                <w:sz w:val="16"/>
                <w:szCs w:val="16"/>
              </w:rPr>
              <w:t>Модернизиране на физическите активи на малките земеделски стопанства</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Подбор на проектни предложения.</w:t>
            </w:r>
          </w:p>
        </w:tc>
        <w:tc>
          <w:tcPr>
            <w:tcW w:w="208"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vAlign w:val="center"/>
          </w:tcPr>
          <w:p w:rsidR="001D05E8" w:rsidRPr="001D05E8" w:rsidRDefault="001D05E8" w:rsidP="001D05E8">
            <w:pPr>
              <w:ind w:left="-112" w:right="-108"/>
              <w:jc w:val="center"/>
              <w:rPr>
                <w:sz w:val="16"/>
                <w:szCs w:val="16"/>
              </w:rPr>
            </w:pPr>
            <w:r w:rsidRPr="001D05E8">
              <w:rPr>
                <w:sz w:val="16"/>
                <w:szCs w:val="16"/>
              </w:rPr>
              <w:t xml:space="preserve">До левовата равностойност на   </w:t>
            </w:r>
          </w:p>
          <w:p w:rsidR="001D05E8" w:rsidRPr="001D05E8" w:rsidRDefault="001D05E8" w:rsidP="001D05E8">
            <w:pPr>
              <w:ind w:left="-112" w:right="-108"/>
              <w:jc w:val="center"/>
              <w:rPr>
                <w:sz w:val="16"/>
                <w:szCs w:val="16"/>
              </w:rPr>
            </w:pPr>
            <w:r w:rsidRPr="001D05E8">
              <w:rPr>
                <w:sz w:val="16"/>
                <w:szCs w:val="16"/>
              </w:rPr>
              <w:t>5 000 000</w:t>
            </w:r>
          </w:p>
          <w:p w:rsidR="001D05E8" w:rsidRPr="001D05E8" w:rsidRDefault="001D05E8" w:rsidP="001D05E8">
            <w:pPr>
              <w:ind w:left="-112" w:right="-108"/>
              <w:jc w:val="center"/>
              <w:rPr>
                <w:sz w:val="16"/>
                <w:szCs w:val="16"/>
              </w:rPr>
            </w:pPr>
            <w:r w:rsidRPr="001D05E8">
              <w:rPr>
                <w:sz w:val="16"/>
                <w:szCs w:val="16"/>
              </w:rPr>
              <w:t>евро</w:t>
            </w:r>
          </w:p>
        </w:tc>
        <w:tc>
          <w:tcPr>
            <w:tcW w:w="483" w:type="pct"/>
            <w:vAlign w:val="center"/>
          </w:tcPr>
          <w:p w:rsidR="001D05E8" w:rsidRPr="001D05E8" w:rsidRDefault="001D05E8" w:rsidP="001D05E8">
            <w:pPr>
              <w:ind w:left="-112" w:right="-108"/>
              <w:jc w:val="center"/>
              <w:rPr>
                <w:sz w:val="16"/>
                <w:szCs w:val="16"/>
              </w:rPr>
            </w:pPr>
            <w:r w:rsidRPr="001D05E8">
              <w:rPr>
                <w:sz w:val="16"/>
                <w:szCs w:val="16"/>
              </w:rPr>
              <w:t xml:space="preserve">Земеделски стопани, които имат икономически размер на стопанството от </w:t>
            </w:r>
          </w:p>
          <w:p w:rsidR="001D05E8" w:rsidRPr="001D05E8" w:rsidRDefault="001D05E8" w:rsidP="001D05E8">
            <w:pPr>
              <w:ind w:left="-112" w:right="-108"/>
              <w:jc w:val="center"/>
              <w:rPr>
                <w:sz w:val="16"/>
                <w:szCs w:val="16"/>
              </w:rPr>
            </w:pPr>
            <w:r w:rsidRPr="001D05E8">
              <w:rPr>
                <w:sz w:val="16"/>
                <w:szCs w:val="16"/>
              </w:rPr>
              <w:t>6 000 до 7 999 евро измерен в стандартен производствен обем</w:t>
            </w:r>
          </w:p>
        </w:tc>
        <w:tc>
          <w:tcPr>
            <w:tcW w:w="452" w:type="pct"/>
            <w:vAlign w:val="center"/>
          </w:tcPr>
          <w:p w:rsidR="001D05E8" w:rsidRPr="001D05E8" w:rsidRDefault="001D05E8" w:rsidP="001D05E8">
            <w:pPr>
              <w:ind w:left="-112" w:right="-108"/>
              <w:jc w:val="center"/>
              <w:rPr>
                <w:sz w:val="16"/>
                <w:szCs w:val="16"/>
              </w:rPr>
            </w:pPr>
            <w:r w:rsidRPr="001D05E8">
              <w:rPr>
                <w:sz w:val="16"/>
                <w:szCs w:val="16"/>
              </w:rPr>
              <w:t>Материални и нематериални дълготрайни инвестиции, които водят до подобряване на икономическата устойчивост и резултати на стопанството.</w:t>
            </w:r>
          </w:p>
        </w:tc>
        <w:tc>
          <w:tcPr>
            <w:tcW w:w="636" w:type="pct"/>
            <w:vAlign w:val="center"/>
          </w:tcPr>
          <w:p w:rsidR="001D05E8" w:rsidRPr="001D05E8" w:rsidRDefault="001D05E8" w:rsidP="001D05E8">
            <w:pPr>
              <w:ind w:left="-112" w:right="-108"/>
              <w:rPr>
                <w:sz w:val="16"/>
                <w:szCs w:val="16"/>
              </w:rPr>
            </w:pPr>
            <w:r w:rsidRPr="001D05E8">
              <w:rPr>
                <w:sz w:val="16"/>
                <w:szCs w:val="16"/>
              </w:rPr>
              <w:t xml:space="preserve">Изграждане, придобиване и подобряване на недвижимо имущество; Закупуване на нови машини, съоръжения и оборудване; </w:t>
            </w:r>
          </w:p>
          <w:p w:rsidR="001D05E8" w:rsidRPr="001D05E8" w:rsidRDefault="001D05E8" w:rsidP="001D05E8">
            <w:pPr>
              <w:ind w:left="-112" w:right="-108"/>
              <w:rPr>
                <w:sz w:val="16"/>
                <w:szCs w:val="16"/>
              </w:rPr>
            </w:pPr>
            <w:r w:rsidRPr="001D05E8">
              <w:rPr>
                <w:sz w:val="16"/>
                <w:szCs w:val="16"/>
              </w:rPr>
              <w:t>Общи разходи свързани със съответния проект за предпроектни проучвания, такси, хонорари за архитекти, инженери и консултантски услуги.</w:t>
            </w:r>
          </w:p>
        </w:tc>
        <w:tc>
          <w:tcPr>
            <w:tcW w:w="254" w:type="pct"/>
            <w:vAlign w:val="center"/>
          </w:tcPr>
          <w:p w:rsidR="001D05E8" w:rsidRPr="001D05E8" w:rsidRDefault="001D05E8" w:rsidP="001D05E8">
            <w:pPr>
              <w:ind w:left="-112" w:right="-108"/>
              <w:jc w:val="center"/>
              <w:rPr>
                <w:sz w:val="16"/>
                <w:szCs w:val="16"/>
              </w:rPr>
            </w:pPr>
            <w:r w:rsidRPr="001D05E8">
              <w:rPr>
                <w:sz w:val="16"/>
                <w:szCs w:val="16"/>
              </w:rPr>
              <w:t>60-80%</w:t>
            </w:r>
          </w:p>
        </w:tc>
        <w:tc>
          <w:tcPr>
            <w:tcW w:w="212" w:type="pct"/>
            <w:vAlign w:val="center"/>
          </w:tcPr>
          <w:p w:rsidR="001D05E8" w:rsidRPr="001D05E8" w:rsidRDefault="001D05E8" w:rsidP="001D05E8">
            <w:pPr>
              <w:ind w:left="-112" w:right="-108"/>
              <w:jc w:val="center"/>
              <w:rPr>
                <w:sz w:val="16"/>
                <w:szCs w:val="16"/>
              </w:rPr>
            </w:pPr>
            <w:r w:rsidRPr="001D05E8">
              <w:rPr>
                <w:sz w:val="16"/>
                <w:szCs w:val="16"/>
              </w:rPr>
              <w:t>Юли</w:t>
            </w:r>
          </w:p>
          <w:p w:rsidR="001D05E8" w:rsidRPr="001D05E8" w:rsidRDefault="001D05E8" w:rsidP="001D05E8">
            <w:pPr>
              <w:ind w:left="-112" w:right="-108"/>
              <w:jc w:val="center"/>
              <w:rPr>
                <w:sz w:val="16"/>
                <w:szCs w:val="16"/>
              </w:rPr>
            </w:pPr>
            <w:r w:rsidRPr="001D05E8">
              <w:rPr>
                <w:sz w:val="16"/>
                <w:szCs w:val="16"/>
              </w:rPr>
              <w:t>2020 г.</w:t>
            </w:r>
          </w:p>
        </w:tc>
        <w:tc>
          <w:tcPr>
            <w:tcW w:w="230" w:type="pct"/>
            <w:vAlign w:val="center"/>
          </w:tcPr>
          <w:p w:rsidR="001D05E8" w:rsidRPr="001D05E8" w:rsidRDefault="001D05E8" w:rsidP="001D05E8">
            <w:pPr>
              <w:ind w:left="-112" w:right="-108"/>
              <w:jc w:val="center"/>
              <w:rPr>
                <w:sz w:val="16"/>
                <w:szCs w:val="16"/>
              </w:rPr>
            </w:pPr>
            <w:r w:rsidRPr="001D05E8">
              <w:rPr>
                <w:sz w:val="16"/>
                <w:szCs w:val="16"/>
              </w:rPr>
              <w:t>Септември</w:t>
            </w:r>
          </w:p>
          <w:p w:rsidR="001D05E8" w:rsidRPr="001D05E8" w:rsidRDefault="001D05E8" w:rsidP="001D05E8">
            <w:pPr>
              <w:ind w:left="-112" w:right="-108"/>
              <w:jc w:val="center"/>
              <w:rPr>
                <w:sz w:val="16"/>
                <w:szCs w:val="16"/>
              </w:rPr>
            </w:pPr>
            <w:r w:rsidRPr="001D05E8">
              <w:rPr>
                <w:sz w:val="16"/>
                <w:szCs w:val="16"/>
              </w:rPr>
              <w:t>2020 г.</w:t>
            </w:r>
          </w:p>
        </w:tc>
        <w:tc>
          <w:tcPr>
            <w:tcW w:w="242"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vAlign w:val="center"/>
          </w:tcPr>
          <w:p w:rsidR="001D05E8" w:rsidRPr="001D05E8" w:rsidRDefault="001D05E8" w:rsidP="001D05E8">
            <w:pPr>
              <w:ind w:left="-112" w:right="-108"/>
              <w:jc w:val="center"/>
              <w:rPr>
                <w:sz w:val="16"/>
                <w:szCs w:val="16"/>
              </w:rPr>
            </w:pPr>
            <w:r w:rsidRPr="001D05E8">
              <w:rPr>
                <w:sz w:val="16"/>
                <w:szCs w:val="16"/>
              </w:rPr>
              <w:t xml:space="preserve">Левовата равностойност на </w:t>
            </w:r>
          </w:p>
          <w:p w:rsidR="001D05E8" w:rsidRPr="001D05E8" w:rsidRDefault="001D05E8" w:rsidP="001D05E8">
            <w:pPr>
              <w:ind w:left="-112" w:right="-108"/>
              <w:jc w:val="center"/>
              <w:rPr>
                <w:sz w:val="16"/>
                <w:szCs w:val="16"/>
              </w:rPr>
            </w:pPr>
            <w:r w:rsidRPr="001D05E8">
              <w:rPr>
                <w:sz w:val="16"/>
                <w:szCs w:val="16"/>
              </w:rPr>
              <w:t>1 250 евро</w:t>
            </w:r>
          </w:p>
        </w:tc>
        <w:tc>
          <w:tcPr>
            <w:tcW w:w="297" w:type="pct"/>
            <w:vAlign w:val="center"/>
          </w:tcPr>
          <w:p w:rsidR="001D05E8" w:rsidRPr="001D05E8" w:rsidRDefault="001D05E8" w:rsidP="001D05E8">
            <w:pPr>
              <w:ind w:left="-112" w:right="-108"/>
              <w:jc w:val="center"/>
              <w:rPr>
                <w:sz w:val="16"/>
                <w:szCs w:val="16"/>
              </w:rPr>
            </w:pPr>
            <w:r w:rsidRPr="001D05E8">
              <w:rPr>
                <w:sz w:val="16"/>
                <w:szCs w:val="16"/>
              </w:rPr>
              <w:t xml:space="preserve">Левовата равностойност на </w:t>
            </w:r>
          </w:p>
          <w:p w:rsidR="001D05E8" w:rsidRPr="001D05E8" w:rsidRDefault="001D05E8" w:rsidP="001D05E8">
            <w:pPr>
              <w:ind w:left="-112" w:right="-108"/>
              <w:jc w:val="center"/>
              <w:rPr>
                <w:sz w:val="16"/>
                <w:szCs w:val="16"/>
              </w:rPr>
            </w:pPr>
            <w:r w:rsidRPr="001D05E8">
              <w:rPr>
                <w:sz w:val="16"/>
                <w:szCs w:val="16"/>
              </w:rPr>
              <w:t>25 000</w:t>
            </w:r>
          </w:p>
          <w:p w:rsidR="001D05E8" w:rsidRPr="001D05E8" w:rsidRDefault="001D05E8" w:rsidP="001D05E8">
            <w:pPr>
              <w:ind w:left="-112" w:right="-108"/>
              <w:jc w:val="center"/>
              <w:rPr>
                <w:sz w:val="16"/>
                <w:szCs w:val="16"/>
              </w:rPr>
            </w:pPr>
            <w:r w:rsidRPr="001D05E8">
              <w:rPr>
                <w:sz w:val="16"/>
                <w:szCs w:val="16"/>
              </w:rPr>
              <w:t>евро</w:t>
            </w:r>
          </w:p>
        </w:tc>
      </w:tr>
      <w:tr w:rsidR="00C23F62" w:rsidRPr="001D05E8" w:rsidTr="00D66DDD">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108"/>
              <w:jc w:val="center"/>
              <w:rPr>
                <w:sz w:val="16"/>
                <w:szCs w:val="16"/>
              </w:rPr>
            </w:pPr>
            <w:r w:rsidRPr="001D05E8">
              <w:rPr>
                <w:sz w:val="16"/>
                <w:szCs w:val="16"/>
              </w:rPr>
              <w:t>5.</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Подмярка 4.3 “Инвестиции в инфраструктура“  </w:t>
            </w:r>
          </w:p>
        </w:tc>
        <w:tc>
          <w:tcPr>
            <w:tcW w:w="33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Възстановяването на инфраструктурата за напояване чрез реконструкция и модернизацията ѝ в съответствие с идентифицираните нужди.</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Подбор на проектни предложения</w:t>
            </w:r>
          </w:p>
        </w:tc>
        <w:tc>
          <w:tcPr>
            <w:tcW w:w="20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45 419 274,00  евро</w:t>
            </w:r>
          </w:p>
        </w:tc>
        <w:tc>
          <w:tcPr>
            <w:tcW w:w="48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right="-108"/>
              <w:rPr>
                <w:sz w:val="16"/>
                <w:szCs w:val="16"/>
              </w:rPr>
            </w:pPr>
            <w:r w:rsidRPr="001D05E8">
              <w:rPr>
                <w:sz w:val="16"/>
                <w:szCs w:val="16"/>
              </w:rPr>
              <w:t>1. „Напоителни системи“ ЕАД.</w:t>
            </w:r>
          </w:p>
        </w:tc>
        <w:tc>
          <w:tcPr>
            <w:tcW w:w="45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rPr>
                <w:sz w:val="16"/>
                <w:szCs w:val="16"/>
              </w:rPr>
            </w:pPr>
            <w:r w:rsidRPr="001D05E8">
              <w:rPr>
                <w:sz w:val="16"/>
                <w:szCs w:val="16"/>
              </w:rPr>
              <w:t>Подкрепата ще бъде насочена към инвестиции в напоителни системи, използвани само за селскостопански цели, включващи:</w:t>
            </w:r>
          </w:p>
          <w:p w:rsidR="001D05E8" w:rsidRPr="001D05E8" w:rsidRDefault="001D05E8" w:rsidP="001D05E8">
            <w:pPr>
              <w:ind w:left="-112" w:right="-108"/>
              <w:rPr>
                <w:sz w:val="16"/>
                <w:szCs w:val="16"/>
              </w:rPr>
            </w:pPr>
            <w:r w:rsidRPr="001D05E8">
              <w:rPr>
                <w:sz w:val="16"/>
                <w:szCs w:val="16"/>
              </w:rPr>
              <w:t>•Ремонт/реконструкция/рехабилитация на напоителни инсталации и напоителна инфраструктура;</w:t>
            </w:r>
          </w:p>
          <w:p w:rsidR="001D05E8" w:rsidRPr="001D05E8" w:rsidRDefault="001D05E8" w:rsidP="001D05E8">
            <w:pPr>
              <w:ind w:left="-112" w:right="-108"/>
              <w:rPr>
                <w:sz w:val="16"/>
                <w:szCs w:val="16"/>
              </w:rPr>
            </w:pPr>
            <w:r w:rsidRPr="001D05E8">
              <w:rPr>
                <w:sz w:val="16"/>
                <w:szCs w:val="16"/>
              </w:rPr>
              <w:t>•</w:t>
            </w:r>
            <w:r w:rsidRPr="001D05E8">
              <w:rPr>
                <w:sz w:val="16"/>
                <w:szCs w:val="16"/>
              </w:rPr>
              <w:tab/>
              <w:t xml:space="preserve">Закупуване и инсталиране на нови машини, съоръжения и оборудване за напояване, измерване и мониторинг, </w:t>
            </w:r>
            <w:r w:rsidRPr="001D05E8">
              <w:rPr>
                <w:sz w:val="16"/>
                <w:szCs w:val="16"/>
              </w:rPr>
              <w:lastRenderedPageBreak/>
              <w:t>включително и такива, пряко свързани с подобряване на енергийната ефективност и опазване на околната среда;</w:t>
            </w:r>
          </w:p>
        </w:tc>
        <w:tc>
          <w:tcPr>
            <w:tcW w:w="636"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rPr>
                <w:sz w:val="16"/>
                <w:szCs w:val="16"/>
              </w:rPr>
            </w:pPr>
            <w:r w:rsidRPr="001D05E8">
              <w:rPr>
                <w:sz w:val="16"/>
                <w:szCs w:val="16"/>
              </w:rPr>
              <w:lastRenderedPageBreak/>
              <w:t>Материални инвестиции:</w:t>
            </w:r>
          </w:p>
          <w:p w:rsidR="001D05E8" w:rsidRPr="001D05E8" w:rsidRDefault="001D05E8" w:rsidP="001D05E8">
            <w:pPr>
              <w:ind w:left="-112" w:right="-108"/>
              <w:rPr>
                <w:sz w:val="16"/>
                <w:szCs w:val="16"/>
              </w:rPr>
            </w:pPr>
            <w:r w:rsidRPr="001D05E8">
              <w:rPr>
                <w:sz w:val="16"/>
                <w:szCs w:val="16"/>
              </w:rPr>
              <w:t>1.Реконструкция/рехабилитация/ремонт на сгради и друга недвижима собственост (обслужващи сгради, помпени станции, изравнители, водохващания, линейна инфраструктура и др.), използвани за дейности, свързани изцяло с напояване, включително такива, използвани за опазване на околната среда (с изключение на естествени и изкуствени водоеми/водохранилища, както и язовири).</w:t>
            </w:r>
          </w:p>
          <w:p w:rsidR="001D05E8" w:rsidRPr="001D05E8" w:rsidRDefault="001D05E8" w:rsidP="001D05E8">
            <w:pPr>
              <w:ind w:left="-112" w:right="-108"/>
              <w:rPr>
                <w:sz w:val="16"/>
                <w:szCs w:val="16"/>
              </w:rPr>
            </w:pPr>
            <w:r w:rsidRPr="001D05E8">
              <w:rPr>
                <w:sz w:val="16"/>
                <w:szCs w:val="16"/>
              </w:rPr>
              <w:t xml:space="preserve">2.Закупуване и/или инсталиране на нови машини, съоръжения и оборудване, </w:t>
            </w:r>
            <w:r w:rsidRPr="001D05E8">
              <w:rPr>
                <w:sz w:val="16"/>
                <w:szCs w:val="16"/>
              </w:rPr>
              <w:lastRenderedPageBreak/>
              <w:t>необходими за подобряване на дейностите, свързани с напояване, включително свързани с опазване на околната среда и подобряване на енергийната ефективност и за подобряване на проводимостта на напоителните съоръжения.</w:t>
            </w:r>
          </w:p>
          <w:p w:rsidR="001D05E8" w:rsidRPr="001D05E8" w:rsidRDefault="001D05E8" w:rsidP="001D05E8">
            <w:pPr>
              <w:ind w:left="-112" w:right="-108"/>
              <w:rPr>
                <w:sz w:val="16"/>
                <w:szCs w:val="16"/>
              </w:rPr>
            </w:pPr>
            <w:r w:rsidRPr="001D05E8">
              <w:rPr>
                <w:sz w:val="16"/>
                <w:szCs w:val="16"/>
              </w:rPr>
              <w:t>3.Изграждане и/или инсталиране на системи за отчитане и мониторинг на ползваните количества вода, включително свързани с превенция от вредното въздействие върху околната среда.</w:t>
            </w:r>
          </w:p>
          <w:p w:rsidR="001D05E8" w:rsidRPr="001D05E8" w:rsidRDefault="001D05E8" w:rsidP="001D05E8">
            <w:pPr>
              <w:ind w:left="-112" w:right="-108"/>
              <w:rPr>
                <w:sz w:val="16"/>
                <w:szCs w:val="16"/>
              </w:rPr>
            </w:pPr>
            <w:r w:rsidRPr="001D05E8">
              <w:rPr>
                <w:sz w:val="16"/>
                <w:szCs w:val="16"/>
              </w:rPr>
              <w:t>Нематериални инвестиции:</w:t>
            </w:r>
          </w:p>
          <w:p w:rsidR="001D05E8" w:rsidRPr="001D05E8" w:rsidRDefault="001D05E8" w:rsidP="001D05E8">
            <w:pPr>
              <w:ind w:left="-112" w:right="-108"/>
              <w:rPr>
                <w:sz w:val="16"/>
                <w:szCs w:val="16"/>
              </w:rPr>
            </w:pPr>
            <w:r w:rsidRPr="001D05E8">
              <w:rPr>
                <w:sz w:val="16"/>
                <w:szCs w:val="16"/>
              </w:rPr>
              <w:t xml:space="preserve">1.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p>
          <w:p w:rsidR="001D05E8" w:rsidRPr="001D05E8" w:rsidRDefault="001D05E8" w:rsidP="001D05E8">
            <w:pPr>
              <w:ind w:left="-112" w:right="-108"/>
              <w:rPr>
                <w:sz w:val="16"/>
                <w:szCs w:val="16"/>
              </w:rPr>
            </w:pPr>
            <w:r w:rsidRPr="001D05E8">
              <w:rPr>
                <w:sz w:val="16"/>
                <w:szCs w:val="16"/>
              </w:rPr>
              <w:t>2. Разходи за ноу-хау, придобиване на патентни права и лицензи, и процеси, необходими за изготвяне и изпълнение на проекта;</w:t>
            </w:r>
          </w:p>
          <w:p w:rsidR="001D05E8" w:rsidRPr="001D05E8" w:rsidRDefault="001D05E8" w:rsidP="001D05E8">
            <w:pPr>
              <w:ind w:left="-112" w:right="-108"/>
              <w:rPr>
                <w:sz w:val="16"/>
                <w:szCs w:val="16"/>
              </w:rPr>
            </w:pPr>
            <w:r w:rsidRPr="001D05E8">
              <w:rPr>
                <w:sz w:val="16"/>
                <w:szCs w:val="16"/>
              </w:rPr>
              <w:t>3. Закупуване на софтуер, пряко свързан с дейността;</w:t>
            </w:r>
          </w:p>
          <w:p w:rsidR="001D05E8" w:rsidRPr="001D05E8" w:rsidRDefault="001D05E8" w:rsidP="001D05E8">
            <w:pPr>
              <w:ind w:left="-112" w:right="-108"/>
              <w:rPr>
                <w:sz w:val="16"/>
                <w:szCs w:val="16"/>
              </w:rPr>
            </w:pPr>
          </w:p>
        </w:tc>
        <w:tc>
          <w:tcPr>
            <w:tcW w:w="254"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lastRenderedPageBreak/>
              <w:t>До 100%</w:t>
            </w:r>
          </w:p>
        </w:tc>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Април</w:t>
            </w:r>
          </w:p>
          <w:p w:rsidR="001D05E8" w:rsidRPr="001D05E8" w:rsidRDefault="001D05E8" w:rsidP="001D05E8">
            <w:pPr>
              <w:ind w:left="-112" w:right="-108"/>
              <w:jc w:val="center"/>
              <w:rPr>
                <w:sz w:val="16"/>
                <w:szCs w:val="16"/>
              </w:rPr>
            </w:pPr>
            <w:r w:rsidRPr="001D05E8">
              <w:rPr>
                <w:sz w:val="16"/>
                <w:szCs w:val="16"/>
              </w:rPr>
              <w:t>2020 г.</w:t>
            </w:r>
          </w:p>
        </w:tc>
        <w:tc>
          <w:tcPr>
            <w:tcW w:w="230"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Юли</w:t>
            </w:r>
          </w:p>
          <w:p w:rsidR="001D05E8" w:rsidRPr="001D05E8" w:rsidRDefault="001D05E8" w:rsidP="001D05E8">
            <w:pPr>
              <w:ind w:left="-112" w:right="-108"/>
              <w:jc w:val="center"/>
              <w:rPr>
                <w:sz w:val="16"/>
                <w:szCs w:val="16"/>
              </w:rPr>
            </w:pPr>
            <w:r w:rsidRPr="001D05E8">
              <w:rPr>
                <w:sz w:val="16"/>
                <w:szCs w:val="16"/>
              </w:rPr>
              <w:t>2020 г.</w:t>
            </w:r>
          </w:p>
        </w:tc>
        <w:tc>
          <w:tcPr>
            <w:tcW w:w="24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Левовата равностойност на 15 000 евро.</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right="-108"/>
              <w:rPr>
                <w:sz w:val="16"/>
                <w:szCs w:val="16"/>
              </w:rPr>
            </w:pPr>
            <w:r w:rsidRPr="001D05E8">
              <w:rPr>
                <w:sz w:val="16"/>
                <w:szCs w:val="16"/>
              </w:rPr>
              <w:t>Левовата равностойност на 6 000 000 евро</w:t>
            </w:r>
          </w:p>
        </w:tc>
      </w:tr>
      <w:tr w:rsidR="00C23F62" w:rsidRPr="001D05E8" w:rsidTr="00D66DDD">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108"/>
              <w:jc w:val="center"/>
              <w:rPr>
                <w:sz w:val="16"/>
                <w:szCs w:val="16"/>
                <w:lang w:val="en-GB"/>
              </w:rPr>
            </w:pP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Подмярка 4.3 “Инвестиции в инфраструкту</w:t>
            </w:r>
            <w:r w:rsidRPr="001D05E8">
              <w:rPr>
                <w:sz w:val="16"/>
                <w:szCs w:val="16"/>
              </w:rPr>
              <w:lastRenderedPageBreak/>
              <w:t xml:space="preserve">ра“  </w:t>
            </w:r>
          </w:p>
        </w:tc>
        <w:tc>
          <w:tcPr>
            <w:tcW w:w="33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lastRenderedPageBreak/>
              <w:t xml:space="preserve">Възстановяването на инфраструктурата за напояване </w:t>
            </w:r>
            <w:r w:rsidRPr="001D05E8">
              <w:rPr>
                <w:sz w:val="16"/>
                <w:szCs w:val="16"/>
              </w:rPr>
              <w:lastRenderedPageBreak/>
              <w:t>чрез реконструкция и модернизацията ѝ в съответствие с идентифицираните нужди.</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lastRenderedPageBreak/>
              <w:t>Подбор на проектни предложения</w:t>
            </w:r>
          </w:p>
        </w:tc>
        <w:tc>
          <w:tcPr>
            <w:tcW w:w="20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5 046 586,00 евро</w:t>
            </w:r>
          </w:p>
        </w:tc>
        <w:tc>
          <w:tcPr>
            <w:tcW w:w="48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right="-108"/>
              <w:rPr>
                <w:sz w:val="16"/>
                <w:szCs w:val="16"/>
              </w:rPr>
            </w:pPr>
            <w:r w:rsidRPr="001D05E8">
              <w:rPr>
                <w:sz w:val="16"/>
                <w:szCs w:val="16"/>
              </w:rPr>
              <w:t xml:space="preserve">1. Юридически лица, учредени и регистрирани по реда на Закона за </w:t>
            </w:r>
            <w:r w:rsidRPr="001D05E8">
              <w:rPr>
                <w:sz w:val="16"/>
                <w:szCs w:val="16"/>
              </w:rPr>
              <w:lastRenderedPageBreak/>
              <w:t>сдружения за напояване (ЗСН) и вписани в регистъра на Сдруженията за напояване</w:t>
            </w:r>
          </w:p>
          <w:p w:rsidR="001D05E8" w:rsidRPr="001D05E8" w:rsidRDefault="001D05E8" w:rsidP="001D05E8">
            <w:pPr>
              <w:rPr>
                <w:sz w:val="16"/>
                <w:szCs w:val="16"/>
              </w:rPr>
            </w:pPr>
            <w:r w:rsidRPr="001D05E8">
              <w:rPr>
                <w:sz w:val="16"/>
                <w:szCs w:val="16"/>
              </w:rPr>
              <w:t>2. Юридически лица, учредени и регистрирани по реда на Търговския закон (ТЗ) или</w:t>
            </w:r>
          </w:p>
          <w:p w:rsidR="001D05E8" w:rsidRPr="001D05E8" w:rsidRDefault="001D05E8" w:rsidP="001D05E8">
            <w:r w:rsidRPr="001D05E8">
              <w:rPr>
                <w:sz w:val="16"/>
                <w:szCs w:val="16"/>
              </w:rPr>
              <w:t>Закона за кооперациите (ЗК)</w:t>
            </w:r>
          </w:p>
        </w:tc>
        <w:tc>
          <w:tcPr>
            <w:tcW w:w="45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rPr>
                <w:sz w:val="16"/>
                <w:szCs w:val="16"/>
              </w:rPr>
            </w:pPr>
          </w:p>
          <w:p w:rsidR="001D05E8" w:rsidRPr="001D05E8" w:rsidRDefault="001D05E8" w:rsidP="001D05E8">
            <w:pPr>
              <w:ind w:left="-112" w:right="-108"/>
              <w:rPr>
                <w:sz w:val="16"/>
                <w:szCs w:val="16"/>
              </w:rPr>
            </w:pPr>
            <w:r w:rsidRPr="001D05E8">
              <w:rPr>
                <w:sz w:val="16"/>
                <w:szCs w:val="16"/>
              </w:rPr>
              <w:t xml:space="preserve">Подкрепата ще бъде насочена към инвестиции в </w:t>
            </w:r>
            <w:r w:rsidRPr="001D05E8">
              <w:rPr>
                <w:sz w:val="16"/>
                <w:szCs w:val="16"/>
              </w:rPr>
              <w:lastRenderedPageBreak/>
              <w:t>напоителни системи, използвани само за селскостопански цели, включващи:</w:t>
            </w:r>
          </w:p>
          <w:p w:rsidR="001D05E8" w:rsidRPr="001D05E8" w:rsidRDefault="001D05E8" w:rsidP="001D05E8">
            <w:pPr>
              <w:ind w:left="-112" w:right="-108"/>
              <w:rPr>
                <w:sz w:val="16"/>
                <w:szCs w:val="16"/>
              </w:rPr>
            </w:pPr>
            <w:r w:rsidRPr="001D05E8">
              <w:rPr>
                <w:sz w:val="16"/>
                <w:szCs w:val="16"/>
              </w:rPr>
              <w:t>•Ремонт/реконструкция/рехабилитация на напоителни инсталации и напоителна инфраструктура;</w:t>
            </w:r>
          </w:p>
          <w:p w:rsidR="001D05E8" w:rsidRPr="001D05E8" w:rsidRDefault="001D05E8" w:rsidP="001D05E8">
            <w:pPr>
              <w:ind w:left="-112" w:right="-108"/>
              <w:rPr>
                <w:sz w:val="16"/>
                <w:szCs w:val="16"/>
              </w:rPr>
            </w:pPr>
            <w:r w:rsidRPr="001D05E8">
              <w:rPr>
                <w:sz w:val="16"/>
                <w:szCs w:val="16"/>
              </w:rPr>
              <w:t>•</w:t>
            </w:r>
            <w:r w:rsidRPr="001D05E8">
              <w:rPr>
                <w:sz w:val="16"/>
                <w:szCs w:val="16"/>
              </w:rPr>
              <w:tab/>
              <w:t>Закупуване и инсталиране на нови машини, съоръжения и оборудване за напояване, измерване и мониторинг, включително и такива, пряко свързани с подобряване на енергийната ефективност и опазване на околната среда;</w:t>
            </w:r>
          </w:p>
        </w:tc>
        <w:tc>
          <w:tcPr>
            <w:tcW w:w="636"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rPr>
                <w:sz w:val="16"/>
                <w:szCs w:val="16"/>
              </w:rPr>
            </w:pPr>
          </w:p>
          <w:p w:rsidR="001D05E8" w:rsidRPr="001D05E8" w:rsidRDefault="001D05E8" w:rsidP="001D05E8">
            <w:pPr>
              <w:ind w:left="-112" w:right="-108"/>
              <w:rPr>
                <w:sz w:val="16"/>
                <w:szCs w:val="16"/>
              </w:rPr>
            </w:pPr>
            <w:r w:rsidRPr="001D05E8">
              <w:rPr>
                <w:sz w:val="16"/>
                <w:szCs w:val="16"/>
              </w:rPr>
              <w:t>Материални инвестиции:</w:t>
            </w:r>
          </w:p>
          <w:p w:rsidR="001D05E8" w:rsidRPr="001D05E8" w:rsidRDefault="001D05E8" w:rsidP="001D05E8">
            <w:pPr>
              <w:ind w:left="-112" w:right="-108"/>
              <w:rPr>
                <w:sz w:val="16"/>
                <w:szCs w:val="16"/>
              </w:rPr>
            </w:pPr>
            <w:r w:rsidRPr="001D05E8">
              <w:rPr>
                <w:sz w:val="16"/>
                <w:szCs w:val="16"/>
              </w:rPr>
              <w:t xml:space="preserve">1.Реконструкция/рехабилитация/ремонт на сгради и друга </w:t>
            </w:r>
            <w:r w:rsidRPr="001D05E8">
              <w:rPr>
                <w:sz w:val="16"/>
                <w:szCs w:val="16"/>
              </w:rPr>
              <w:lastRenderedPageBreak/>
              <w:t>недвижима собственост (обслужващи сгради, помпени станции, изравнители, водохващания, линейна инфраструктура и др.), използвани за дейности, свързани изцяло с напояване, включително такива, използвани за опазване на околната среда (с изключение на естествени и изкуствени водоеми/водохранилища, както и язовири).</w:t>
            </w:r>
          </w:p>
          <w:p w:rsidR="001D05E8" w:rsidRPr="001D05E8" w:rsidRDefault="001D05E8" w:rsidP="001D05E8">
            <w:pPr>
              <w:ind w:left="-112" w:right="-108"/>
              <w:rPr>
                <w:sz w:val="16"/>
                <w:szCs w:val="16"/>
              </w:rPr>
            </w:pPr>
            <w:r w:rsidRPr="001D05E8">
              <w:rPr>
                <w:sz w:val="16"/>
                <w:szCs w:val="16"/>
              </w:rPr>
              <w:t>2.Закупуване и/или инсталиране на нови машини, съоръжения и оборудване, необходими за подобряване на дейностите, свързани с напояване, включително свързани с опазване на околната среда и подобряване на енергийната ефективност и за подобряване на проводимостта на напоителните съоръжения.</w:t>
            </w:r>
          </w:p>
          <w:p w:rsidR="001D05E8" w:rsidRPr="001D05E8" w:rsidRDefault="001D05E8" w:rsidP="001D05E8">
            <w:pPr>
              <w:ind w:left="-112" w:right="-108"/>
              <w:rPr>
                <w:sz w:val="16"/>
                <w:szCs w:val="16"/>
              </w:rPr>
            </w:pPr>
            <w:r w:rsidRPr="001D05E8">
              <w:rPr>
                <w:sz w:val="16"/>
                <w:szCs w:val="16"/>
              </w:rPr>
              <w:t>3.Изграждане и/или инсталиране на системи за отчитане и мониторинг на ползваните количества вода, включително свързани с превенция от вредното въздействие върху околната среда.</w:t>
            </w:r>
          </w:p>
          <w:p w:rsidR="001D05E8" w:rsidRPr="001D05E8" w:rsidRDefault="001D05E8" w:rsidP="001D05E8">
            <w:pPr>
              <w:ind w:left="-112" w:right="-108"/>
              <w:rPr>
                <w:sz w:val="16"/>
                <w:szCs w:val="16"/>
              </w:rPr>
            </w:pPr>
            <w:r w:rsidRPr="001D05E8">
              <w:rPr>
                <w:sz w:val="16"/>
                <w:szCs w:val="16"/>
              </w:rPr>
              <w:t>Нематериални инвестиции:</w:t>
            </w:r>
          </w:p>
          <w:p w:rsidR="001D05E8" w:rsidRPr="001D05E8" w:rsidRDefault="001D05E8" w:rsidP="001D05E8">
            <w:pPr>
              <w:ind w:left="-112" w:right="-108"/>
              <w:rPr>
                <w:sz w:val="16"/>
                <w:szCs w:val="16"/>
              </w:rPr>
            </w:pPr>
            <w:r w:rsidRPr="001D05E8">
              <w:rPr>
                <w:sz w:val="16"/>
                <w:szCs w:val="16"/>
              </w:rPr>
              <w:t xml:space="preserve">1. Общи разходи, свързани със съответния проект за предпроектни проучвания, такси, хонорари за архитекти, инженери и консултантски услуги, консултации за </w:t>
            </w:r>
            <w:r w:rsidRPr="001D05E8">
              <w:rPr>
                <w:sz w:val="16"/>
                <w:szCs w:val="16"/>
              </w:rPr>
              <w:lastRenderedPageBreak/>
              <w:t xml:space="preserve">екологична и икономическа устойчивост на проекти, проучвания за техническа осъществимост на проекта. </w:t>
            </w:r>
          </w:p>
          <w:p w:rsidR="001D05E8" w:rsidRPr="001D05E8" w:rsidRDefault="001D05E8" w:rsidP="001D05E8">
            <w:pPr>
              <w:ind w:left="-112" w:right="-108"/>
              <w:rPr>
                <w:sz w:val="16"/>
                <w:szCs w:val="16"/>
              </w:rPr>
            </w:pPr>
            <w:r w:rsidRPr="001D05E8">
              <w:rPr>
                <w:sz w:val="16"/>
                <w:szCs w:val="16"/>
              </w:rPr>
              <w:t>2. Разходи за ноу-хау, придобиване на патентни права и лицензи, и процеси, необходими за изготвяне и изпълнение на проекта;</w:t>
            </w:r>
          </w:p>
          <w:p w:rsidR="001D05E8" w:rsidRPr="001D05E8" w:rsidRDefault="001D05E8" w:rsidP="001D05E8">
            <w:pPr>
              <w:ind w:left="-112" w:right="-108"/>
              <w:rPr>
                <w:sz w:val="16"/>
                <w:szCs w:val="16"/>
              </w:rPr>
            </w:pPr>
            <w:r w:rsidRPr="001D05E8">
              <w:rPr>
                <w:sz w:val="16"/>
                <w:szCs w:val="16"/>
              </w:rPr>
              <w:t>3. Закупуване на софтуер, пряко свързан с дейността;</w:t>
            </w:r>
          </w:p>
        </w:tc>
        <w:tc>
          <w:tcPr>
            <w:tcW w:w="254"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lastRenderedPageBreak/>
              <w:t>До 100%</w:t>
            </w:r>
          </w:p>
        </w:tc>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Април</w:t>
            </w:r>
          </w:p>
          <w:p w:rsidR="001D05E8" w:rsidRPr="001D05E8" w:rsidRDefault="001D05E8" w:rsidP="001D05E8">
            <w:pPr>
              <w:ind w:left="-112" w:right="-108"/>
              <w:jc w:val="center"/>
              <w:rPr>
                <w:sz w:val="16"/>
                <w:szCs w:val="16"/>
              </w:rPr>
            </w:pPr>
            <w:r w:rsidRPr="001D05E8">
              <w:rPr>
                <w:sz w:val="16"/>
                <w:szCs w:val="16"/>
              </w:rPr>
              <w:t>2020 г.</w:t>
            </w:r>
          </w:p>
        </w:tc>
        <w:tc>
          <w:tcPr>
            <w:tcW w:w="230"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Юли</w:t>
            </w:r>
          </w:p>
          <w:p w:rsidR="001D05E8" w:rsidRPr="001D05E8" w:rsidRDefault="001D05E8" w:rsidP="001D05E8">
            <w:pPr>
              <w:ind w:left="-112" w:right="-108"/>
              <w:jc w:val="center"/>
              <w:rPr>
                <w:sz w:val="16"/>
                <w:szCs w:val="16"/>
              </w:rPr>
            </w:pPr>
            <w:r w:rsidRPr="001D05E8">
              <w:rPr>
                <w:sz w:val="16"/>
                <w:szCs w:val="16"/>
              </w:rPr>
              <w:t>2020 г.</w:t>
            </w:r>
          </w:p>
        </w:tc>
        <w:tc>
          <w:tcPr>
            <w:tcW w:w="24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Левовата равностойност на 15 000 евро. </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Левовата равностойност на 1 500 000 евро.</w:t>
            </w:r>
          </w:p>
        </w:tc>
      </w:tr>
      <w:tr w:rsidR="00C23F62" w:rsidRPr="001D05E8" w:rsidTr="00D66DDD">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108"/>
              <w:jc w:val="center"/>
              <w:rPr>
                <w:sz w:val="16"/>
                <w:szCs w:val="16"/>
              </w:rPr>
            </w:pPr>
            <w:r w:rsidRPr="001D05E8">
              <w:rPr>
                <w:sz w:val="16"/>
                <w:szCs w:val="16"/>
                <w:lang w:val="en-GB"/>
              </w:rPr>
              <w:lastRenderedPageBreak/>
              <w:t>6</w:t>
            </w:r>
            <w:r w:rsidRPr="001D05E8">
              <w:rPr>
                <w:sz w:val="16"/>
                <w:szCs w:val="16"/>
              </w:rPr>
              <w:t>.</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p>
        </w:tc>
        <w:tc>
          <w:tcPr>
            <w:tcW w:w="33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животните, както и превенция от опасни метеорологични явления - градушки .</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Подбор на проектни предложения.</w:t>
            </w:r>
          </w:p>
        </w:tc>
        <w:tc>
          <w:tcPr>
            <w:tcW w:w="20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23 000 000 евро</w:t>
            </w:r>
          </w:p>
        </w:tc>
        <w:tc>
          <w:tcPr>
            <w:tcW w:w="48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Публични органи – БАБХ, Изпълнителна агенция борба с градушките и др.;</w:t>
            </w:r>
          </w:p>
          <w:p w:rsidR="001D05E8" w:rsidRPr="001D05E8" w:rsidRDefault="001D05E8" w:rsidP="001D05E8">
            <w:pPr>
              <w:ind w:left="-112" w:right="-108"/>
              <w:jc w:val="center"/>
              <w:rPr>
                <w:sz w:val="16"/>
                <w:szCs w:val="16"/>
              </w:rPr>
            </w:pPr>
            <w:r w:rsidRPr="001D05E8">
              <w:rPr>
                <w:sz w:val="16"/>
                <w:szCs w:val="16"/>
              </w:rPr>
              <w:t>Частни субекти – регистрирани ЗС</w:t>
            </w:r>
          </w:p>
        </w:tc>
        <w:tc>
          <w:tcPr>
            <w:tcW w:w="45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 подмярката ще се подпомагат превантивни дейности, насочени към ограничаване на последствията от вероятни природни бедствия, неблагоприятни климатични явления и катастрофични събития.</w:t>
            </w:r>
          </w:p>
          <w:p w:rsidR="001D05E8" w:rsidRPr="001D05E8" w:rsidRDefault="001D05E8" w:rsidP="001D05E8">
            <w:pPr>
              <w:ind w:left="-112" w:right="-108"/>
              <w:jc w:val="center"/>
              <w:rPr>
                <w:sz w:val="16"/>
                <w:szCs w:val="16"/>
              </w:rPr>
            </w:pPr>
          </w:p>
        </w:tc>
        <w:tc>
          <w:tcPr>
            <w:tcW w:w="636"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rPr>
                <w:sz w:val="16"/>
                <w:szCs w:val="16"/>
              </w:rPr>
            </w:pPr>
            <w:r w:rsidRPr="001D05E8">
              <w:rPr>
                <w:sz w:val="16"/>
                <w:szCs w:val="16"/>
              </w:rPr>
              <w:t>Разходи за закупуване на оборудване, инструменти и съоръжения за лаборатории; разходи за закупуване на специализирано мобилно оборудване за пренасяне на проби; разходи за инсталации, включително разходите за монтаж и въвеждане в експлоатация на лаборатории. Разходи за акредитация на лаборатории; разходи за закупуване на лицензи, придобиване и разработка на софтуер за лаборатории;</w:t>
            </w:r>
          </w:p>
          <w:p w:rsidR="001D05E8" w:rsidRPr="001D05E8" w:rsidRDefault="001D05E8" w:rsidP="001D05E8">
            <w:pPr>
              <w:ind w:left="-112" w:right="-108"/>
              <w:rPr>
                <w:sz w:val="16"/>
                <w:szCs w:val="16"/>
              </w:rPr>
            </w:pPr>
            <w:r w:rsidRPr="001D05E8">
              <w:rPr>
                <w:sz w:val="16"/>
                <w:szCs w:val="16"/>
              </w:rPr>
              <w:t>За Изпълнителна агенция борба с градушките /ИАБГ/:</w:t>
            </w:r>
          </w:p>
          <w:p w:rsidR="001D05E8" w:rsidRPr="001D05E8" w:rsidRDefault="001D05E8" w:rsidP="001D05E8">
            <w:pPr>
              <w:ind w:left="-112" w:right="-108"/>
              <w:rPr>
                <w:sz w:val="16"/>
                <w:szCs w:val="16"/>
              </w:rPr>
            </w:pPr>
            <w:r w:rsidRPr="001D05E8">
              <w:rPr>
                <w:sz w:val="16"/>
                <w:szCs w:val="16"/>
              </w:rPr>
              <w:t xml:space="preserve">Разходи за строително – монтажни дейности свързани с изграждане на кули, използвани за монтаж на радарни станции, вкл. прилежаща инфраструктура към тях; Разходи за закупуване на радарни станции, вкл. оборудване за анализ и съхранение на бази данни; Разходи за закупуване на специализирани </w:t>
            </w:r>
            <w:r w:rsidRPr="001D05E8">
              <w:rPr>
                <w:sz w:val="16"/>
                <w:szCs w:val="16"/>
              </w:rPr>
              <w:lastRenderedPageBreak/>
              <w:t>транспортни средства за превоз на противоградна техника и специфични товари; Разходи за инсталации, включително разходи за монтаж и въвеждане в експлоатация на радарни станции.</w:t>
            </w:r>
          </w:p>
          <w:p w:rsidR="001D05E8" w:rsidRPr="001D05E8" w:rsidRDefault="001D05E8" w:rsidP="001D05E8">
            <w:pPr>
              <w:ind w:left="-112" w:right="-108"/>
              <w:rPr>
                <w:sz w:val="16"/>
                <w:szCs w:val="16"/>
              </w:rPr>
            </w:pPr>
            <w:r w:rsidRPr="001D05E8">
              <w:rPr>
                <w:sz w:val="16"/>
                <w:szCs w:val="16"/>
              </w:rPr>
              <w:t>Разходи за закупуване на лицензи, придобиване и разработка на софтуер за противоградна защита.</w:t>
            </w:r>
          </w:p>
          <w:p w:rsidR="001D05E8" w:rsidRPr="001D05E8" w:rsidRDefault="001D05E8" w:rsidP="001D05E8">
            <w:pPr>
              <w:ind w:left="-112" w:right="-108"/>
              <w:rPr>
                <w:sz w:val="16"/>
                <w:szCs w:val="16"/>
              </w:rPr>
            </w:pPr>
            <w:r w:rsidRPr="001D05E8">
              <w:rPr>
                <w:sz w:val="16"/>
                <w:szCs w:val="16"/>
              </w:rPr>
              <w:t>За частни ЗС:</w:t>
            </w:r>
          </w:p>
          <w:p w:rsidR="001D05E8" w:rsidRPr="001D05E8" w:rsidRDefault="001D05E8" w:rsidP="001D05E8">
            <w:pPr>
              <w:ind w:left="-112" w:right="-108"/>
              <w:rPr>
                <w:sz w:val="16"/>
                <w:szCs w:val="16"/>
              </w:rPr>
            </w:pPr>
            <w:r w:rsidRPr="001D05E8">
              <w:rPr>
                <w:sz w:val="16"/>
                <w:szCs w:val="16"/>
              </w:rPr>
              <w:t xml:space="preserve">Разходи за закупуване на съоръжения и оборудване за дезинфекция; Разходи за закупуване на инсталации, оборудване за осигуряване на биосигурност и инфраструктура, в т. ч. помещения за персонала (например изграждане и оборудване на филтъра с душове, съблекални и т.н.) в стопанствата; Разходи за изграждане на огради или закупуване на преградни съоръжения; Разходи за изграждане или закупуване на съоръжения за съхранение на фуражи; Разходи за закупуване на оборудване и изграждане на места, свързани със съхранение на странични животински продукти, вкл. оборудване и съоръжения за инсинерация; Разходи за инсталации на оборудване, включително разходите за монтаж и въвеждане в </w:t>
            </w:r>
            <w:r w:rsidRPr="001D05E8">
              <w:rPr>
                <w:sz w:val="16"/>
                <w:szCs w:val="16"/>
              </w:rPr>
              <w:lastRenderedPageBreak/>
              <w:t>експлоатация на същите.</w:t>
            </w:r>
          </w:p>
          <w:p w:rsidR="001D05E8" w:rsidRPr="001D05E8" w:rsidRDefault="001D05E8" w:rsidP="001D05E8">
            <w:pPr>
              <w:ind w:left="-112" w:right="-108"/>
              <w:rPr>
                <w:sz w:val="16"/>
                <w:szCs w:val="16"/>
              </w:rPr>
            </w:pPr>
            <w:r w:rsidRPr="001D05E8">
              <w:rPr>
                <w:sz w:val="16"/>
                <w:szCs w:val="16"/>
              </w:rPr>
              <w:t>Общи разходи за публични органи и частни субекти: Общи разходи свързани със съответния проект за предпроектни проучвания, такси, хонорари за архитекти, инженери и консултантски услуги. Общите разходи по проекта не могат да надхвърлят 12% от общия размер на допустимите инвестиции по проекта.</w:t>
            </w:r>
          </w:p>
        </w:tc>
        <w:tc>
          <w:tcPr>
            <w:tcW w:w="254"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lastRenderedPageBreak/>
              <w:t>80% за публични субекти;</w:t>
            </w:r>
          </w:p>
          <w:p w:rsidR="001D05E8" w:rsidRPr="001D05E8" w:rsidRDefault="001D05E8" w:rsidP="001D05E8">
            <w:pPr>
              <w:ind w:left="-112" w:right="-108"/>
              <w:jc w:val="center"/>
              <w:rPr>
                <w:sz w:val="16"/>
                <w:szCs w:val="16"/>
              </w:rPr>
            </w:pPr>
          </w:p>
          <w:p w:rsidR="001D05E8" w:rsidRPr="001D05E8" w:rsidRDefault="001D05E8" w:rsidP="001D05E8">
            <w:pPr>
              <w:ind w:left="-112" w:right="-108"/>
              <w:jc w:val="center"/>
              <w:rPr>
                <w:sz w:val="16"/>
                <w:szCs w:val="16"/>
              </w:rPr>
            </w:pPr>
            <w:r w:rsidRPr="001D05E8">
              <w:rPr>
                <w:sz w:val="16"/>
                <w:szCs w:val="16"/>
              </w:rPr>
              <w:t>60-70% за частни субекти</w:t>
            </w:r>
          </w:p>
        </w:tc>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Май</w:t>
            </w:r>
          </w:p>
          <w:p w:rsidR="001D05E8" w:rsidRPr="001D05E8" w:rsidRDefault="001D05E8" w:rsidP="001D05E8">
            <w:pPr>
              <w:ind w:left="-112" w:right="-108"/>
              <w:jc w:val="center"/>
              <w:rPr>
                <w:sz w:val="16"/>
                <w:szCs w:val="16"/>
              </w:rPr>
            </w:pPr>
            <w:r w:rsidRPr="001D05E8">
              <w:rPr>
                <w:sz w:val="16"/>
                <w:szCs w:val="16"/>
              </w:rPr>
              <w:t>2020 г.</w:t>
            </w:r>
          </w:p>
        </w:tc>
        <w:tc>
          <w:tcPr>
            <w:tcW w:w="230"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Юли</w:t>
            </w:r>
          </w:p>
          <w:p w:rsidR="001D05E8" w:rsidRPr="001D05E8" w:rsidRDefault="001D05E8" w:rsidP="001D05E8">
            <w:pPr>
              <w:ind w:left="-112" w:right="-108"/>
              <w:jc w:val="center"/>
              <w:rPr>
                <w:sz w:val="16"/>
                <w:szCs w:val="16"/>
              </w:rPr>
            </w:pPr>
            <w:r w:rsidRPr="001D05E8">
              <w:rPr>
                <w:sz w:val="16"/>
                <w:szCs w:val="16"/>
              </w:rPr>
              <w:t>2020 г.</w:t>
            </w:r>
          </w:p>
        </w:tc>
        <w:tc>
          <w:tcPr>
            <w:tcW w:w="24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 xml:space="preserve">Не </w:t>
            </w:r>
          </w:p>
        </w:tc>
        <w:tc>
          <w:tcPr>
            <w:tcW w:w="25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Непр.</w:t>
            </w:r>
          </w:p>
          <w:p w:rsidR="001D05E8" w:rsidRPr="001D05E8" w:rsidRDefault="001D05E8" w:rsidP="001D05E8">
            <w:pPr>
              <w:ind w:left="-112" w:right="-108"/>
              <w:jc w:val="center"/>
              <w:rPr>
                <w:sz w:val="16"/>
                <w:szCs w:val="16"/>
              </w:rPr>
            </w:pP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За публични субекти – левовата равностойност на 2 000 000 евро.</w:t>
            </w:r>
          </w:p>
          <w:p w:rsidR="001D05E8" w:rsidRPr="001D05E8" w:rsidRDefault="001D05E8" w:rsidP="001D05E8">
            <w:pPr>
              <w:ind w:left="-112" w:right="-108"/>
              <w:jc w:val="center"/>
              <w:rPr>
                <w:sz w:val="16"/>
                <w:szCs w:val="16"/>
              </w:rPr>
            </w:pPr>
            <w:r w:rsidRPr="001D05E8">
              <w:rPr>
                <w:sz w:val="16"/>
                <w:szCs w:val="16"/>
              </w:rPr>
              <w:t xml:space="preserve">За частни субекти: левовата равностойност на 1 000 000 евро за кандидати отглеждащи свине (максимална стойност на допустимите разходите за един животновъден обект е в размер до 700 000 евро);  500 000 евро за кандидати отглеждащи птици, и 200 000 евро </w:t>
            </w:r>
            <w:r w:rsidRPr="001D05E8">
              <w:rPr>
                <w:sz w:val="16"/>
                <w:szCs w:val="16"/>
              </w:rPr>
              <w:lastRenderedPageBreak/>
              <w:t>за кандидати отглеждащи ДПЖ – овце и кози.</w:t>
            </w:r>
          </w:p>
        </w:tc>
      </w:tr>
      <w:tr w:rsidR="00C23F62" w:rsidRPr="001D05E8" w:rsidTr="00D66DDD">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108"/>
              <w:jc w:val="center"/>
              <w:rPr>
                <w:b/>
                <w:sz w:val="16"/>
                <w:szCs w:val="16"/>
              </w:rPr>
            </w:pPr>
            <w:r w:rsidRPr="001D05E8">
              <w:rPr>
                <w:b/>
                <w:sz w:val="16"/>
                <w:szCs w:val="16"/>
              </w:rPr>
              <w:lastRenderedPageBreak/>
              <w:t>7.</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Подмярка 5.1 „Подкрепа за 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 </w:t>
            </w:r>
          </w:p>
        </w:tc>
        <w:tc>
          <w:tcPr>
            <w:tcW w:w="33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животните, както и превенция от опасни метеорологични явления - градушки .</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Подбор на проектни предложения.</w:t>
            </w:r>
          </w:p>
        </w:tc>
        <w:tc>
          <w:tcPr>
            <w:tcW w:w="20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9 000 000 евро</w:t>
            </w:r>
          </w:p>
        </w:tc>
        <w:tc>
          <w:tcPr>
            <w:tcW w:w="48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Публични органи – БАБХ, Изпълнителна агенция борба с градушките и др.;</w:t>
            </w:r>
          </w:p>
          <w:p w:rsidR="001D05E8" w:rsidRPr="001D05E8" w:rsidRDefault="001D05E8" w:rsidP="001D05E8">
            <w:pPr>
              <w:ind w:left="-112" w:right="-108"/>
              <w:jc w:val="center"/>
              <w:rPr>
                <w:sz w:val="16"/>
                <w:szCs w:val="16"/>
              </w:rPr>
            </w:pPr>
            <w:r w:rsidRPr="001D05E8">
              <w:rPr>
                <w:sz w:val="16"/>
                <w:szCs w:val="16"/>
              </w:rPr>
              <w:t>Частни субекти – регистрирани ЗС</w:t>
            </w:r>
          </w:p>
        </w:tc>
        <w:tc>
          <w:tcPr>
            <w:tcW w:w="45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Превантивни дейности, насочени към ограничаване на последствията от вероятни природни бедствия, неблагоприятни климатични явления и катастрофични събития.</w:t>
            </w:r>
          </w:p>
          <w:p w:rsidR="001D05E8" w:rsidRPr="001D05E8" w:rsidRDefault="001D05E8" w:rsidP="001D05E8">
            <w:pPr>
              <w:ind w:left="-112" w:right="-108"/>
              <w:jc w:val="center"/>
              <w:rPr>
                <w:sz w:val="16"/>
                <w:szCs w:val="16"/>
              </w:rPr>
            </w:pPr>
          </w:p>
        </w:tc>
        <w:tc>
          <w:tcPr>
            <w:tcW w:w="636"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rPr>
                <w:sz w:val="16"/>
                <w:szCs w:val="16"/>
              </w:rPr>
            </w:pPr>
            <w:r w:rsidRPr="001D05E8">
              <w:rPr>
                <w:sz w:val="16"/>
                <w:szCs w:val="16"/>
              </w:rPr>
              <w:t>Разходи за закупуване на оборудване, инструменти и съоръжения за лаборатории; разходи за закупуване на специализирано мобилно оборудване за пренасяне на проби; разходи за инсталации, включително разходите за монтаж и въвеждане в експлоатация на лаборатории. Разходи за акредитация на лаборатории; разходи за закупуване на лицензи, придобиване и разработка на софтуер за лаборатории;</w:t>
            </w:r>
          </w:p>
          <w:p w:rsidR="001D05E8" w:rsidRPr="001D05E8" w:rsidRDefault="001D05E8" w:rsidP="001D05E8">
            <w:pPr>
              <w:ind w:left="-112" w:right="-108"/>
              <w:rPr>
                <w:sz w:val="16"/>
                <w:szCs w:val="16"/>
              </w:rPr>
            </w:pPr>
            <w:r w:rsidRPr="001D05E8">
              <w:rPr>
                <w:sz w:val="16"/>
                <w:szCs w:val="16"/>
              </w:rPr>
              <w:t>За Изпълнителна агенция борба с градушките /ИАБГ/:</w:t>
            </w:r>
          </w:p>
          <w:p w:rsidR="001D05E8" w:rsidRPr="001D05E8" w:rsidRDefault="001D05E8" w:rsidP="001D05E8">
            <w:pPr>
              <w:ind w:left="-112" w:right="-108"/>
              <w:rPr>
                <w:sz w:val="16"/>
                <w:szCs w:val="16"/>
              </w:rPr>
            </w:pPr>
            <w:r w:rsidRPr="001D05E8">
              <w:rPr>
                <w:sz w:val="16"/>
                <w:szCs w:val="16"/>
              </w:rPr>
              <w:t xml:space="preserve">Разходи за строително – монтажни дейности свързани с изграждане на кули, използвани за монтаж на радарни станции, вкл. прилежаща инфраструктура към тях; Разходи за закупуване на радарни станции, вкл. оборудване за анализ и съхранение на бази </w:t>
            </w:r>
            <w:r w:rsidRPr="001D05E8">
              <w:rPr>
                <w:sz w:val="16"/>
                <w:szCs w:val="16"/>
              </w:rPr>
              <w:lastRenderedPageBreak/>
              <w:t>данни; Разходи за закупуване на специализирани транспортни средства за превоз на противоградна техника и специфични товари; Разходи за инсталации, включително разходи за монтаж и въвеждане в експлоатация на радарни станции.</w:t>
            </w:r>
          </w:p>
          <w:p w:rsidR="001D05E8" w:rsidRPr="001D05E8" w:rsidRDefault="001D05E8" w:rsidP="001D05E8">
            <w:pPr>
              <w:ind w:left="-112" w:right="-108"/>
              <w:rPr>
                <w:sz w:val="16"/>
                <w:szCs w:val="16"/>
              </w:rPr>
            </w:pPr>
            <w:r w:rsidRPr="001D05E8">
              <w:rPr>
                <w:sz w:val="16"/>
                <w:szCs w:val="16"/>
              </w:rPr>
              <w:t>Разходи за закупуване на лицензи, придобиване и разработка на софтуер за противоградна защита.</w:t>
            </w:r>
          </w:p>
          <w:p w:rsidR="001D05E8" w:rsidRPr="00194641" w:rsidRDefault="001D05E8" w:rsidP="001D05E8">
            <w:pPr>
              <w:ind w:left="-112" w:right="-108"/>
              <w:rPr>
                <w:sz w:val="16"/>
                <w:szCs w:val="16"/>
              </w:rPr>
            </w:pPr>
            <w:r w:rsidRPr="001D05E8">
              <w:rPr>
                <w:sz w:val="16"/>
                <w:szCs w:val="16"/>
              </w:rPr>
              <w:t>За частни ЗС:</w:t>
            </w:r>
          </w:p>
          <w:p w:rsidR="001D05E8" w:rsidRPr="001D05E8" w:rsidRDefault="001D05E8" w:rsidP="001D05E8">
            <w:pPr>
              <w:ind w:left="-112" w:right="-108"/>
              <w:rPr>
                <w:sz w:val="16"/>
                <w:szCs w:val="16"/>
              </w:rPr>
            </w:pPr>
            <w:r w:rsidRPr="001D05E8">
              <w:rPr>
                <w:sz w:val="16"/>
                <w:szCs w:val="16"/>
              </w:rPr>
              <w:t xml:space="preserve">Разходи за закупуване на съоръжения и оборудване за дезинфекция; Разходи за закупуване на инсталации, оборудване за осигуряване на биосигурност и инфраструктура, в т. ч. помещения за персонала (например изграждане и оборудване на филтъра с душове, съблекални и т.н.) в стопанствата; Разходи за изграждане на огради или закупуване на преградни съоръжения; Разходи за изграждане или закупуване на съоръжения за съхранение на фуражи; Разходи за закупуване на оборудване и изграждане на места, свързани със съхранение на странични животински продукти, вкл. оборудване и съоръжения за инсинерация; Разходи за инсталации на оборудване, </w:t>
            </w:r>
            <w:r w:rsidRPr="001D05E8">
              <w:rPr>
                <w:sz w:val="16"/>
                <w:szCs w:val="16"/>
              </w:rPr>
              <w:lastRenderedPageBreak/>
              <w:t>включително разходите за монтаж и въвеждане в експлоатация на същите.</w:t>
            </w:r>
          </w:p>
          <w:p w:rsidR="001D05E8" w:rsidRPr="001D05E8" w:rsidRDefault="001D05E8" w:rsidP="001D05E8">
            <w:pPr>
              <w:ind w:left="-112" w:right="-108"/>
              <w:rPr>
                <w:sz w:val="16"/>
                <w:szCs w:val="16"/>
              </w:rPr>
            </w:pPr>
            <w:r w:rsidRPr="001D05E8">
              <w:rPr>
                <w:sz w:val="16"/>
                <w:szCs w:val="16"/>
              </w:rPr>
              <w:t>Общи разходи за публични органи и частни субекти: Общи разходи свързани със съответния проект за предпроектни проучвания, такси, хонорари за архитекти, инженери и консултантски услуги. Общите разходи по проекта не могат да надхвърлят 12% от общия размер на допустимите инвестиции по проекта.</w:t>
            </w:r>
          </w:p>
        </w:tc>
        <w:tc>
          <w:tcPr>
            <w:tcW w:w="254"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lastRenderedPageBreak/>
              <w:t>80% за публични субекти;</w:t>
            </w:r>
          </w:p>
          <w:p w:rsidR="001D05E8" w:rsidRPr="001D05E8" w:rsidRDefault="001D05E8" w:rsidP="001D05E8">
            <w:pPr>
              <w:ind w:left="-112" w:right="-108"/>
              <w:jc w:val="center"/>
              <w:rPr>
                <w:sz w:val="16"/>
                <w:szCs w:val="16"/>
              </w:rPr>
            </w:pPr>
          </w:p>
          <w:p w:rsidR="001D05E8" w:rsidRPr="001D05E8" w:rsidRDefault="001D05E8" w:rsidP="001D05E8">
            <w:pPr>
              <w:ind w:left="-112" w:right="-108"/>
              <w:jc w:val="center"/>
              <w:rPr>
                <w:sz w:val="16"/>
                <w:szCs w:val="16"/>
              </w:rPr>
            </w:pPr>
            <w:r w:rsidRPr="001D05E8">
              <w:rPr>
                <w:sz w:val="16"/>
                <w:szCs w:val="16"/>
              </w:rPr>
              <w:t>60-70% за частни субекти</w:t>
            </w:r>
          </w:p>
        </w:tc>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Ноември 2020 г.</w:t>
            </w:r>
          </w:p>
        </w:tc>
        <w:tc>
          <w:tcPr>
            <w:tcW w:w="230"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Декември </w:t>
            </w:r>
          </w:p>
          <w:p w:rsidR="001D05E8" w:rsidRPr="001D05E8" w:rsidRDefault="001D05E8" w:rsidP="001D05E8">
            <w:pPr>
              <w:ind w:left="-112" w:right="-108"/>
              <w:jc w:val="center"/>
              <w:rPr>
                <w:sz w:val="16"/>
                <w:szCs w:val="16"/>
              </w:rPr>
            </w:pPr>
            <w:r w:rsidRPr="001D05E8">
              <w:rPr>
                <w:sz w:val="16"/>
                <w:szCs w:val="16"/>
              </w:rPr>
              <w:t>2020 г.</w:t>
            </w:r>
          </w:p>
        </w:tc>
        <w:tc>
          <w:tcPr>
            <w:tcW w:w="24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 xml:space="preserve">Не </w:t>
            </w:r>
          </w:p>
        </w:tc>
        <w:tc>
          <w:tcPr>
            <w:tcW w:w="25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Непр.</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За публични субекти – левовата равностойност на 2 000 000 евро.</w:t>
            </w:r>
          </w:p>
          <w:p w:rsidR="001D05E8" w:rsidRPr="001D05E8" w:rsidRDefault="001D05E8" w:rsidP="001D05E8">
            <w:pPr>
              <w:ind w:left="-112" w:right="-108"/>
              <w:jc w:val="center"/>
              <w:rPr>
                <w:sz w:val="16"/>
                <w:szCs w:val="16"/>
              </w:rPr>
            </w:pPr>
            <w:r w:rsidRPr="001D05E8">
              <w:rPr>
                <w:sz w:val="16"/>
                <w:szCs w:val="16"/>
              </w:rPr>
              <w:t xml:space="preserve">За частни субекти: левовата равностойност на 1 000 000 евро за кандидати отглеждащи свине </w:t>
            </w:r>
            <w:r w:rsidRPr="00194641">
              <w:rPr>
                <w:sz w:val="16"/>
                <w:szCs w:val="16"/>
              </w:rPr>
              <w:t>(</w:t>
            </w:r>
            <w:r w:rsidRPr="001D05E8">
              <w:rPr>
                <w:sz w:val="16"/>
                <w:szCs w:val="16"/>
              </w:rPr>
              <w:t>максимална стойност на допустимите разходите за един животновъден обект е в размер до 700 000 евро</w:t>
            </w:r>
            <w:r w:rsidRPr="00194641">
              <w:rPr>
                <w:sz w:val="16"/>
                <w:szCs w:val="16"/>
              </w:rPr>
              <w:t>)</w:t>
            </w:r>
            <w:r w:rsidRPr="001D05E8">
              <w:rPr>
                <w:sz w:val="16"/>
                <w:szCs w:val="16"/>
              </w:rPr>
              <w:t xml:space="preserve">;  500 000 евро за кандидати отглеждащи </w:t>
            </w:r>
            <w:r w:rsidRPr="001D05E8">
              <w:rPr>
                <w:sz w:val="16"/>
                <w:szCs w:val="16"/>
              </w:rPr>
              <w:lastRenderedPageBreak/>
              <w:t>птици, и 200 000 евро за кандидати отглеждащи ДПЖ – овце и кози.</w:t>
            </w:r>
          </w:p>
        </w:tc>
      </w:tr>
      <w:tr w:rsidR="00C23F62" w:rsidRPr="001D05E8" w:rsidTr="00D66DDD">
        <w:tc>
          <w:tcPr>
            <w:tcW w:w="212" w:type="pct"/>
            <w:shd w:val="clear" w:color="auto" w:fill="FFFFFF"/>
            <w:vAlign w:val="center"/>
          </w:tcPr>
          <w:p w:rsidR="001D05E8" w:rsidRPr="001D05E8" w:rsidRDefault="001D05E8" w:rsidP="001D05E8">
            <w:pPr>
              <w:ind w:left="-108" w:right="-108"/>
              <w:jc w:val="center"/>
              <w:rPr>
                <w:sz w:val="16"/>
                <w:szCs w:val="16"/>
              </w:rPr>
            </w:pPr>
            <w:r w:rsidRPr="001D05E8">
              <w:rPr>
                <w:sz w:val="16"/>
                <w:szCs w:val="16"/>
              </w:rPr>
              <w:lastRenderedPageBreak/>
              <w:t>8.</w:t>
            </w:r>
          </w:p>
        </w:tc>
        <w:tc>
          <w:tcPr>
            <w:tcW w:w="297"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Подмярка 5.2 „Инвестиции за възстановяване на потенциала на земеделските земи и на селскостопанския производствен потенциал, нарушени от природни бедствия, неблагоприятни климатични явления и катастрофични събития“</w:t>
            </w:r>
          </w:p>
        </w:tc>
        <w:tc>
          <w:tcPr>
            <w:tcW w:w="339"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Възстановяване на производствения потенциал, нарушен от остро заразни заболявания по свинете, дребните преживни животни /овце и кози/ и птиците.</w:t>
            </w:r>
          </w:p>
        </w:tc>
        <w:tc>
          <w:tcPr>
            <w:tcW w:w="297"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Подбор на проектни предложения</w:t>
            </w:r>
          </w:p>
        </w:tc>
        <w:tc>
          <w:tcPr>
            <w:tcW w:w="208"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8 471 690 евро</w:t>
            </w:r>
          </w:p>
        </w:tc>
        <w:tc>
          <w:tcPr>
            <w:tcW w:w="483"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Земеделски стопани,</w:t>
            </w:r>
            <w:r w:rsidRPr="001D05E8">
              <w:t xml:space="preserve"> </w:t>
            </w:r>
            <w:r w:rsidRPr="001D05E8">
              <w:rPr>
                <w:sz w:val="16"/>
                <w:szCs w:val="16"/>
              </w:rPr>
              <w:t xml:space="preserve">регистрирани преди </w:t>
            </w:r>
          </w:p>
          <w:p w:rsidR="001D05E8" w:rsidRPr="001D05E8" w:rsidRDefault="001D05E8" w:rsidP="001D05E8">
            <w:pPr>
              <w:ind w:left="-112" w:right="-108"/>
              <w:jc w:val="center"/>
              <w:rPr>
                <w:sz w:val="16"/>
                <w:szCs w:val="16"/>
              </w:rPr>
            </w:pPr>
            <w:r w:rsidRPr="001D05E8">
              <w:rPr>
                <w:sz w:val="16"/>
                <w:szCs w:val="16"/>
              </w:rPr>
              <w:t xml:space="preserve">1 януари 2018 г. </w:t>
            </w:r>
          </w:p>
          <w:p w:rsidR="001D05E8" w:rsidRPr="001D05E8" w:rsidRDefault="001D05E8" w:rsidP="001D05E8">
            <w:pPr>
              <w:ind w:left="-112" w:right="-108"/>
              <w:jc w:val="center"/>
              <w:rPr>
                <w:sz w:val="16"/>
                <w:szCs w:val="16"/>
              </w:rPr>
            </w:pPr>
            <w:r w:rsidRPr="001D05E8">
              <w:rPr>
                <w:sz w:val="16"/>
                <w:szCs w:val="16"/>
              </w:rPr>
              <w:t>и извършващи животновъдна дейност преди тази дата, които са</w:t>
            </w:r>
            <w:r w:rsidRPr="001D05E8">
              <w:t xml:space="preserve"> </w:t>
            </w:r>
            <w:r w:rsidRPr="001D05E8">
              <w:rPr>
                <w:sz w:val="16"/>
                <w:szCs w:val="16"/>
              </w:rPr>
              <w:t xml:space="preserve">засегнато от силно заразна болест и това е довело до унищожаване на най-малко 30% от земеделският потенциал на стопанството. </w:t>
            </w:r>
          </w:p>
        </w:tc>
        <w:tc>
          <w:tcPr>
            <w:tcW w:w="452"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Инвестиции за възстановяване на производствения потенциал чрез закупуване на животни за разплод, както и за репопулация на засегнатите стопанства</w:t>
            </w:r>
          </w:p>
        </w:tc>
        <w:tc>
          <w:tcPr>
            <w:tcW w:w="636" w:type="pct"/>
            <w:shd w:val="clear" w:color="auto" w:fill="FFFFFF"/>
            <w:vAlign w:val="center"/>
          </w:tcPr>
          <w:p w:rsidR="001D05E8" w:rsidRPr="001D05E8" w:rsidRDefault="001D05E8" w:rsidP="001D05E8">
            <w:pPr>
              <w:ind w:left="-112" w:right="-108"/>
              <w:rPr>
                <w:sz w:val="16"/>
                <w:szCs w:val="16"/>
              </w:rPr>
            </w:pPr>
            <w:r w:rsidRPr="001D05E8">
              <w:rPr>
                <w:sz w:val="16"/>
                <w:szCs w:val="16"/>
              </w:rPr>
              <w:t>Разходи за закупуване на животни, предназначени за възстановяване на популацията в стопанството /репопулация/;</w:t>
            </w:r>
          </w:p>
          <w:p w:rsidR="001D05E8" w:rsidRPr="001D05E8" w:rsidRDefault="001D05E8" w:rsidP="001D05E8">
            <w:pPr>
              <w:ind w:left="-112" w:right="-108"/>
              <w:rPr>
                <w:sz w:val="16"/>
                <w:szCs w:val="16"/>
              </w:rPr>
            </w:pPr>
            <w:r w:rsidRPr="001D05E8">
              <w:rPr>
                <w:sz w:val="16"/>
                <w:szCs w:val="16"/>
              </w:rPr>
              <w:t>Общи разходи свързани със съответния проект за предпроектни проучвания, такси, хонорари за архитекти, инженери и консултантски услуги.</w:t>
            </w:r>
          </w:p>
          <w:p w:rsidR="001D05E8" w:rsidRPr="001D05E8" w:rsidRDefault="001D05E8" w:rsidP="001D05E8">
            <w:pPr>
              <w:ind w:left="-112" w:right="-108"/>
              <w:rPr>
                <w:sz w:val="16"/>
                <w:szCs w:val="16"/>
              </w:rPr>
            </w:pPr>
            <w:r w:rsidRPr="001D05E8">
              <w:rPr>
                <w:sz w:val="16"/>
                <w:szCs w:val="16"/>
              </w:rPr>
              <w:t xml:space="preserve">Общите разходи не могат да надхвърлят 12 % от общия размер на допустимите инвестиции по проекта. </w:t>
            </w:r>
          </w:p>
        </w:tc>
        <w:tc>
          <w:tcPr>
            <w:tcW w:w="254"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100%</w:t>
            </w:r>
          </w:p>
        </w:tc>
        <w:tc>
          <w:tcPr>
            <w:tcW w:w="212"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 xml:space="preserve">Юли </w:t>
            </w:r>
          </w:p>
          <w:p w:rsidR="001D05E8" w:rsidRPr="001D05E8" w:rsidRDefault="001D05E8" w:rsidP="001D05E8">
            <w:pPr>
              <w:ind w:left="-112" w:right="-108"/>
              <w:jc w:val="center"/>
              <w:rPr>
                <w:sz w:val="16"/>
                <w:szCs w:val="16"/>
              </w:rPr>
            </w:pPr>
            <w:r w:rsidRPr="001D05E8">
              <w:rPr>
                <w:sz w:val="16"/>
                <w:szCs w:val="16"/>
              </w:rPr>
              <w:t>2020 г.</w:t>
            </w:r>
          </w:p>
        </w:tc>
        <w:tc>
          <w:tcPr>
            <w:tcW w:w="230"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Септември</w:t>
            </w:r>
          </w:p>
          <w:p w:rsidR="001D05E8" w:rsidRPr="001D05E8" w:rsidRDefault="001D05E8" w:rsidP="001D05E8">
            <w:pPr>
              <w:ind w:left="-112" w:right="-108"/>
              <w:jc w:val="center"/>
              <w:rPr>
                <w:sz w:val="16"/>
                <w:szCs w:val="16"/>
              </w:rPr>
            </w:pPr>
            <w:r w:rsidRPr="001D05E8">
              <w:rPr>
                <w:sz w:val="16"/>
                <w:szCs w:val="16"/>
              </w:rPr>
              <w:t>2020 г.</w:t>
            </w:r>
          </w:p>
        </w:tc>
        <w:tc>
          <w:tcPr>
            <w:tcW w:w="242" w:type="pct"/>
            <w:shd w:val="clear" w:color="auto" w:fill="FFFFFF"/>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shd w:val="clear" w:color="auto" w:fill="FFFFFF"/>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Непр.</w:t>
            </w:r>
          </w:p>
        </w:tc>
        <w:tc>
          <w:tcPr>
            <w:tcW w:w="297" w:type="pct"/>
            <w:shd w:val="clear" w:color="auto" w:fill="FFFFFF"/>
            <w:vAlign w:val="center"/>
          </w:tcPr>
          <w:p w:rsidR="001D05E8" w:rsidRPr="001D05E8" w:rsidRDefault="001D05E8" w:rsidP="001D05E8">
            <w:pPr>
              <w:ind w:left="-112" w:right="-108"/>
              <w:jc w:val="center"/>
              <w:rPr>
                <w:sz w:val="16"/>
                <w:szCs w:val="16"/>
              </w:rPr>
            </w:pPr>
            <w:r w:rsidRPr="001D05E8">
              <w:rPr>
                <w:sz w:val="16"/>
                <w:szCs w:val="16"/>
              </w:rPr>
              <w:t>Левовата равностойност на 1 000 000 евро</w:t>
            </w:r>
          </w:p>
        </w:tc>
      </w:tr>
      <w:tr w:rsidR="00C23F62" w:rsidRPr="001D05E8" w:rsidTr="00D66DDD">
        <w:tc>
          <w:tcPr>
            <w:tcW w:w="212" w:type="pct"/>
            <w:vAlign w:val="center"/>
          </w:tcPr>
          <w:p w:rsidR="001D05E8" w:rsidRPr="001D05E8" w:rsidRDefault="001D05E8" w:rsidP="001D05E8">
            <w:pPr>
              <w:ind w:left="-108" w:right="-108"/>
              <w:jc w:val="center"/>
              <w:rPr>
                <w:sz w:val="16"/>
                <w:szCs w:val="16"/>
              </w:rPr>
            </w:pPr>
            <w:r w:rsidRPr="001D05E8">
              <w:rPr>
                <w:sz w:val="16"/>
                <w:szCs w:val="16"/>
              </w:rPr>
              <w:t>9.</w:t>
            </w:r>
          </w:p>
        </w:tc>
        <w:tc>
          <w:tcPr>
            <w:tcW w:w="297" w:type="pct"/>
            <w:vAlign w:val="center"/>
          </w:tcPr>
          <w:p w:rsidR="001D05E8" w:rsidRPr="001D05E8" w:rsidRDefault="001D05E8" w:rsidP="001D05E8">
            <w:pPr>
              <w:ind w:left="-112" w:right="-108"/>
              <w:jc w:val="center"/>
              <w:rPr>
                <w:sz w:val="16"/>
                <w:szCs w:val="16"/>
              </w:rPr>
            </w:pPr>
            <w:r w:rsidRPr="001D05E8">
              <w:rPr>
                <w:sz w:val="16"/>
                <w:szCs w:val="16"/>
              </w:rPr>
              <w:t xml:space="preserve">Подмярка 6.3 „Стартова помощ за развитието на </w:t>
            </w:r>
            <w:r w:rsidRPr="001D05E8">
              <w:rPr>
                <w:sz w:val="16"/>
                <w:szCs w:val="16"/>
              </w:rPr>
              <w:lastRenderedPageBreak/>
              <w:t>малки стопанства“ (ТПП)</w:t>
            </w:r>
          </w:p>
        </w:tc>
        <w:tc>
          <w:tcPr>
            <w:tcW w:w="339" w:type="pct"/>
            <w:vAlign w:val="center"/>
          </w:tcPr>
          <w:p w:rsidR="001D05E8" w:rsidRPr="001D05E8" w:rsidRDefault="001D05E8" w:rsidP="001D05E8">
            <w:pPr>
              <w:ind w:left="-112" w:right="-108"/>
              <w:jc w:val="center"/>
              <w:rPr>
                <w:sz w:val="16"/>
                <w:szCs w:val="16"/>
              </w:rPr>
            </w:pPr>
            <w:r w:rsidRPr="001D05E8">
              <w:rPr>
                <w:sz w:val="16"/>
                <w:szCs w:val="16"/>
              </w:rPr>
              <w:lastRenderedPageBreak/>
              <w:t xml:space="preserve">Икономическо развитие и укрепване на малките </w:t>
            </w:r>
            <w:r w:rsidRPr="001D05E8">
              <w:rPr>
                <w:sz w:val="16"/>
                <w:szCs w:val="16"/>
              </w:rPr>
              <w:lastRenderedPageBreak/>
              <w:t>земеделски стопанства в устойчиви и жизнеспособни единици</w:t>
            </w:r>
          </w:p>
        </w:tc>
        <w:tc>
          <w:tcPr>
            <w:tcW w:w="297" w:type="pct"/>
            <w:vAlign w:val="center"/>
          </w:tcPr>
          <w:p w:rsidR="001D05E8" w:rsidRPr="001D05E8" w:rsidRDefault="001D05E8" w:rsidP="001D05E8">
            <w:pPr>
              <w:ind w:left="-112" w:right="-108"/>
              <w:jc w:val="center"/>
              <w:rPr>
                <w:sz w:val="16"/>
                <w:szCs w:val="16"/>
              </w:rPr>
            </w:pPr>
            <w:r w:rsidRPr="001D05E8">
              <w:rPr>
                <w:sz w:val="16"/>
                <w:szCs w:val="16"/>
              </w:rPr>
              <w:lastRenderedPageBreak/>
              <w:t>Подбор на проектни предложения</w:t>
            </w:r>
          </w:p>
        </w:tc>
        <w:tc>
          <w:tcPr>
            <w:tcW w:w="208"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vAlign w:val="center"/>
          </w:tcPr>
          <w:p w:rsidR="001D05E8" w:rsidRPr="001D05E8" w:rsidRDefault="001D05E8" w:rsidP="001D05E8">
            <w:pPr>
              <w:ind w:left="-112" w:right="-108"/>
              <w:jc w:val="center"/>
              <w:rPr>
                <w:sz w:val="16"/>
                <w:szCs w:val="16"/>
              </w:rPr>
            </w:pPr>
            <w:r w:rsidRPr="001D05E8">
              <w:rPr>
                <w:sz w:val="16"/>
                <w:szCs w:val="16"/>
              </w:rPr>
              <w:t xml:space="preserve">До левовата равностойност на </w:t>
            </w:r>
          </w:p>
          <w:p w:rsidR="001D05E8" w:rsidRPr="001D05E8" w:rsidRDefault="001D05E8" w:rsidP="001D05E8">
            <w:pPr>
              <w:ind w:left="-112" w:right="-108"/>
              <w:jc w:val="center"/>
              <w:rPr>
                <w:sz w:val="16"/>
                <w:szCs w:val="16"/>
              </w:rPr>
            </w:pPr>
            <w:r w:rsidRPr="001D05E8">
              <w:rPr>
                <w:sz w:val="16"/>
                <w:szCs w:val="16"/>
              </w:rPr>
              <w:t>6 000 000 евро</w:t>
            </w:r>
          </w:p>
        </w:tc>
        <w:tc>
          <w:tcPr>
            <w:tcW w:w="483" w:type="pct"/>
            <w:vAlign w:val="center"/>
          </w:tcPr>
          <w:p w:rsidR="001D05E8" w:rsidRPr="001D05E8" w:rsidRDefault="001D05E8" w:rsidP="001D05E8">
            <w:pPr>
              <w:ind w:left="-112" w:right="-108"/>
              <w:jc w:val="center"/>
              <w:rPr>
                <w:sz w:val="16"/>
                <w:szCs w:val="16"/>
              </w:rPr>
            </w:pPr>
            <w:r w:rsidRPr="001D05E8">
              <w:rPr>
                <w:sz w:val="16"/>
                <w:szCs w:val="16"/>
              </w:rPr>
              <w:t xml:space="preserve">Земеделски стопанства – физически лица,еднолични търговци, ЕООД, </w:t>
            </w:r>
            <w:r w:rsidRPr="001D05E8">
              <w:rPr>
                <w:sz w:val="16"/>
                <w:szCs w:val="16"/>
              </w:rPr>
              <w:lastRenderedPageBreak/>
              <w:t>отглеждащи свине, овце, кози и птици</w:t>
            </w:r>
          </w:p>
        </w:tc>
        <w:tc>
          <w:tcPr>
            <w:tcW w:w="452" w:type="pct"/>
            <w:vAlign w:val="center"/>
          </w:tcPr>
          <w:p w:rsidR="001D05E8" w:rsidRPr="001D05E8" w:rsidRDefault="001D05E8" w:rsidP="001D05E8">
            <w:pPr>
              <w:ind w:left="-112" w:right="-108"/>
              <w:jc w:val="center"/>
              <w:rPr>
                <w:sz w:val="16"/>
                <w:szCs w:val="16"/>
              </w:rPr>
            </w:pPr>
            <w:r w:rsidRPr="001D05E8">
              <w:rPr>
                <w:sz w:val="16"/>
                <w:szCs w:val="16"/>
              </w:rPr>
              <w:lastRenderedPageBreak/>
              <w:t>Дейности за развитие на малки земеделски стопанства /сектор Животновъдство/</w:t>
            </w:r>
          </w:p>
        </w:tc>
        <w:tc>
          <w:tcPr>
            <w:tcW w:w="636" w:type="pct"/>
            <w:vAlign w:val="center"/>
          </w:tcPr>
          <w:p w:rsidR="001D05E8" w:rsidRPr="001D05E8" w:rsidRDefault="001D05E8" w:rsidP="001D05E8">
            <w:pPr>
              <w:ind w:left="-112" w:right="-108"/>
              <w:rPr>
                <w:sz w:val="16"/>
                <w:szCs w:val="16"/>
              </w:rPr>
            </w:pPr>
            <w:r w:rsidRPr="001D05E8">
              <w:rPr>
                <w:sz w:val="16"/>
                <w:szCs w:val="16"/>
              </w:rPr>
              <w:t>Разходи за развитие на малки земеделски стопанства, посочени в бизнес план</w:t>
            </w:r>
          </w:p>
        </w:tc>
        <w:tc>
          <w:tcPr>
            <w:tcW w:w="254" w:type="pct"/>
            <w:vAlign w:val="center"/>
          </w:tcPr>
          <w:p w:rsidR="001D05E8" w:rsidRPr="001D05E8" w:rsidRDefault="001D05E8" w:rsidP="001D05E8">
            <w:pPr>
              <w:ind w:left="-112" w:right="-108"/>
              <w:jc w:val="center"/>
              <w:rPr>
                <w:sz w:val="16"/>
                <w:szCs w:val="16"/>
              </w:rPr>
            </w:pPr>
            <w:r w:rsidRPr="001D05E8">
              <w:rPr>
                <w:sz w:val="16"/>
                <w:szCs w:val="16"/>
              </w:rPr>
              <w:t>Непр.</w:t>
            </w:r>
          </w:p>
        </w:tc>
        <w:tc>
          <w:tcPr>
            <w:tcW w:w="212" w:type="pct"/>
            <w:vAlign w:val="center"/>
          </w:tcPr>
          <w:p w:rsidR="001D05E8" w:rsidRPr="001D05E8" w:rsidRDefault="001D05E8" w:rsidP="001D05E8">
            <w:pPr>
              <w:ind w:left="-112" w:right="-108"/>
              <w:jc w:val="center"/>
              <w:rPr>
                <w:sz w:val="16"/>
                <w:szCs w:val="16"/>
              </w:rPr>
            </w:pPr>
            <w:r w:rsidRPr="001D05E8">
              <w:rPr>
                <w:sz w:val="16"/>
                <w:szCs w:val="16"/>
              </w:rPr>
              <w:t>Март</w:t>
            </w:r>
          </w:p>
          <w:p w:rsidR="001D05E8" w:rsidRPr="001D05E8" w:rsidRDefault="001D05E8" w:rsidP="001D05E8">
            <w:pPr>
              <w:ind w:left="-112" w:right="-108"/>
              <w:jc w:val="center"/>
              <w:rPr>
                <w:sz w:val="16"/>
                <w:szCs w:val="16"/>
              </w:rPr>
            </w:pPr>
            <w:r w:rsidRPr="001D05E8">
              <w:rPr>
                <w:sz w:val="16"/>
                <w:szCs w:val="16"/>
              </w:rPr>
              <w:t>2020 г.</w:t>
            </w:r>
          </w:p>
        </w:tc>
        <w:tc>
          <w:tcPr>
            <w:tcW w:w="230" w:type="pct"/>
            <w:vAlign w:val="center"/>
          </w:tcPr>
          <w:p w:rsidR="001D05E8" w:rsidRPr="001D05E8" w:rsidRDefault="001D05E8" w:rsidP="001D05E8">
            <w:pPr>
              <w:ind w:left="-112" w:right="-108"/>
              <w:jc w:val="center"/>
              <w:rPr>
                <w:sz w:val="16"/>
                <w:szCs w:val="16"/>
              </w:rPr>
            </w:pPr>
            <w:r w:rsidRPr="001D05E8">
              <w:rPr>
                <w:sz w:val="16"/>
                <w:szCs w:val="16"/>
              </w:rPr>
              <w:t>Май</w:t>
            </w:r>
          </w:p>
          <w:p w:rsidR="001D05E8" w:rsidRPr="001D05E8" w:rsidRDefault="001D05E8" w:rsidP="001D05E8">
            <w:pPr>
              <w:ind w:left="-112" w:right="-108"/>
              <w:jc w:val="center"/>
              <w:rPr>
                <w:sz w:val="16"/>
                <w:szCs w:val="16"/>
              </w:rPr>
            </w:pPr>
            <w:r w:rsidRPr="001D05E8">
              <w:rPr>
                <w:sz w:val="16"/>
                <w:szCs w:val="16"/>
              </w:rPr>
              <w:t>2020 г.</w:t>
            </w:r>
          </w:p>
        </w:tc>
        <w:tc>
          <w:tcPr>
            <w:tcW w:w="242"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243"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259" w:type="pct"/>
            <w:vAlign w:val="center"/>
          </w:tcPr>
          <w:p w:rsidR="001D05E8" w:rsidRPr="001D05E8" w:rsidRDefault="001D05E8" w:rsidP="001D05E8">
            <w:pPr>
              <w:ind w:left="-112" w:right="-108"/>
              <w:jc w:val="center"/>
              <w:rPr>
                <w:sz w:val="16"/>
                <w:szCs w:val="16"/>
              </w:rPr>
            </w:pPr>
            <w:r w:rsidRPr="001D05E8">
              <w:rPr>
                <w:sz w:val="16"/>
                <w:szCs w:val="16"/>
              </w:rPr>
              <w:t>Непр.</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Левовата равностойност на 15 000 евро</w:t>
            </w:r>
          </w:p>
        </w:tc>
      </w:tr>
      <w:tr w:rsidR="00C23F62" w:rsidRPr="001D05E8" w:rsidTr="00D66DDD">
        <w:tc>
          <w:tcPr>
            <w:tcW w:w="212" w:type="pct"/>
            <w:vAlign w:val="center"/>
          </w:tcPr>
          <w:p w:rsidR="001D05E8" w:rsidRPr="001D05E8" w:rsidRDefault="001D05E8" w:rsidP="001D05E8">
            <w:pPr>
              <w:ind w:left="-108" w:right="-108"/>
              <w:jc w:val="center"/>
              <w:rPr>
                <w:sz w:val="16"/>
                <w:szCs w:val="16"/>
              </w:rPr>
            </w:pPr>
            <w:r w:rsidRPr="001D05E8">
              <w:rPr>
                <w:sz w:val="16"/>
                <w:szCs w:val="16"/>
              </w:rPr>
              <w:lastRenderedPageBreak/>
              <w:t>10.</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Подмярка 6.4.2 „Инвестиции в подкрепа на неземеделски дейности по Тематичната подпрограма за развитие на малки стопанства</w:t>
            </w:r>
          </w:p>
        </w:tc>
        <w:tc>
          <w:tcPr>
            <w:tcW w:w="339" w:type="pct"/>
            <w:vAlign w:val="center"/>
          </w:tcPr>
          <w:p w:rsidR="001D05E8" w:rsidRPr="001D05E8" w:rsidRDefault="001D05E8" w:rsidP="001D05E8">
            <w:pPr>
              <w:ind w:left="-112" w:right="-108"/>
              <w:jc w:val="center"/>
              <w:rPr>
                <w:sz w:val="16"/>
                <w:szCs w:val="16"/>
              </w:rPr>
            </w:pPr>
            <w:r w:rsidRPr="001D05E8">
              <w:rPr>
                <w:sz w:val="16"/>
                <w:szCs w:val="16"/>
              </w:rPr>
              <w:t>Разширяване дейностите на земеделските стопанства с неземеделски такива за повишаване на тяхната устойчивост и подпомогне процеса на преструктурирането им.</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Подбор на проектни предложения</w:t>
            </w:r>
          </w:p>
        </w:tc>
        <w:tc>
          <w:tcPr>
            <w:tcW w:w="208"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vAlign w:val="center"/>
          </w:tcPr>
          <w:p w:rsidR="001D05E8" w:rsidRPr="001D05E8" w:rsidRDefault="001D05E8" w:rsidP="001D05E8">
            <w:pPr>
              <w:ind w:left="-112" w:right="-108"/>
              <w:jc w:val="center"/>
              <w:rPr>
                <w:sz w:val="16"/>
                <w:szCs w:val="16"/>
              </w:rPr>
            </w:pPr>
            <w:r w:rsidRPr="001D05E8">
              <w:rPr>
                <w:sz w:val="16"/>
                <w:szCs w:val="16"/>
              </w:rPr>
              <w:t xml:space="preserve">До левовата равностойност на </w:t>
            </w:r>
          </w:p>
          <w:p w:rsidR="001D05E8" w:rsidRPr="001D05E8" w:rsidRDefault="001D05E8" w:rsidP="001D05E8">
            <w:pPr>
              <w:ind w:left="-112" w:right="-108"/>
              <w:jc w:val="center"/>
              <w:rPr>
                <w:sz w:val="16"/>
                <w:szCs w:val="16"/>
              </w:rPr>
            </w:pPr>
            <w:r w:rsidRPr="001D05E8">
              <w:rPr>
                <w:sz w:val="16"/>
                <w:szCs w:val="16"/>
              </w:rPr>
              <w:t>5 257 548 евро</w:t>
            </w:r>
          </w:p>
        </w:tc>
        <w:tc>
          <w:tcPr>
            <w:tcW w:w="483" w:type="pct"/>
            <w:vAlign w:val="center"/>
          </w:tcPr>
          <w:p w:rsidR="001D05E8" w:rsidRPr="001D05E8" w:rsidRDefault="001D05E8" w:rsidP="001D05E8">
            <w:pPr>
              <w:ind w:left="-112" w:right="-108"/>
              <w:jc w:val="center"/>
              <w:rPr>
                <w:sz w:val="16"/>
                <w:szCs w:val="16"/>
              </w:rPr>
            </w:pPr>
            <w:r w:rsidRPr="001D05E8">
              <w:rPr>
                <w:sz w:val="16"/>
                <w:szCs w:val="16"/>
              </w:rPr>
              <w:t xml:space="preserve">Земеделски стопани, които имат икономически размер на стопанството от </w:t>
            </w:r>
          </w:p>
          <w:p w:rsidR="001D05E8" w:rsidRPr="001D05E8" w:rsidRDefault="001D05E8" w:rsidP="001D05E8">
            <w:pPr>
              <w:ind w:left="-112" w:right="-108"/>
              <w:jc w:val="center"/>
              <w:rPr>
                <w:sz w:val="16"/>
                <w:szCs w:val="16"/>
              </w:rPr>
            </w:pPr>
            <w:r w:rsidRPr="001D05E8">
              <w:rPr>
                <w:sz w:val="16"/>
                <w:szCs w:val="16"/>
              </w:rPr>
              <w:t>2 000 до 7 999 евро измерен в стандартен производствен обем</w:t>
            </w:r>
          </w:p>
        </w:tc>
        <w:tc>
          <w:tcPr>
            <w:tcW w:w="452" w:type="pct"/>
            <w:vAlign w:val="center"/>
          </w:tcPr>
          <w:p w:rsidR="001D05E8" w:rsidRPr="001D05E8" w:rsidRDefault="001D05E8" w:rsidP="001D05E8">
            <w:pPr>
              <w:ind w:left="-112" w:right="-108"/>
              <w:jc w:val="center"/>
              <w:rPr>
                <w:sz w:val="16"/>
                <w:szCs w:val="16"/>
              </w:rPr>
            </w:pPr>
            <w:r w:rsidRPr="001D05E8">
              <w:rPr>
                <w:sz w:val="16"/>
                <w:szCs w:val="16"/>
              </w:rPr>
              <w:t>-</w:t>
            </w:r>
            <w:r w:rsidRPr="001D05E8">
              <w:rPr>
                <w:sz w:val="16"/>
                <w:szCs w:val="16"/>
              </w:rPr>
              <w:tab/>
              <w:t>Местно занаятчийство (включително предоставяне на услуги, свързани с участието на посетители в занаятчийски дейности);</w:t>
            </w:r>
          </w:p>
          <w:p w:rsidR="001D05E8" w:rsidRPr="001D05E8" w:rsidRDefault="001D05E8" w:rsidP="001D05E8">
            <w:pPr>
              <w:ind w:left="-112" w:right="-108"/>
              <w:jc w:val="center"/>
              <w:rPr>
                <w:sz w:val="16"/>
                <w:szCs w:val="16"/>
              </w:rPr>
            </w:pPr>
            <w:r w:rsidRPr="001D05E8">
              <w:rPr>
                <w:sz w:val="16"/>
                <w:szCs w:val="16"/>
              </w:rPr>
              <w:t>-</w:t>
            </w:r>
            <w:r w:rsidRPr="001D05E8">
              <w:rPr>
                <w:sz w:val="16"/>
                <w:szCs w:val="16"/>
              </w:rPr>
              <w:tab/>
              <w:t>Преработка и маркетинг на земеделски продукти, при които крайният продукт не е включен в  Анекс І (независимо от вложените продукти и материали) и които не се подпомагат по подмярка 4.2.2 ;</w:t>
            </w:r>
          </w:p>
          <w:p w:rsidR="001D05E8" w:rsidRPr="001D05E8" w:rsidRDefault="001D05E8" w:rsidP="001D05E8">
            <w:pPr>
              <w:ind w:left="-112" w:right="-108"/>
              <w:jc w:val="center"/>
              <w:rPr>
                <w:sz w:val="16"/>
                <w:szCs w:val="16"/>
              </w:rPr>
            </w:pPr>
            <w:r w:rsidRPr="001D05E8">
              <w:rPr>
                <w:sz w:val="16"/>
                <w:szCs w:val="16"/>
              </w:rPr>
              <w:t>-</w:t>
            </w:r>
            <w:r w:rsidRPr="001D05E8">
              <w:rPr>
                <w:sz w:val="16"/>
                <w:szCs w:val="16"/>
              </w:rPr>
              <w:tab/>
              <w:t>Производство и/или преработка на неземеделски стоки и материали;</w:t>
            </w:r>
          </w:p>
          <w:p w:rsidR="001D05E8" w:rsidRPr="001D05E8" w:rsidRDefault="001D05E8" w:rsidP="001D05E8">
            <w:pPr>
              <w:ind w:left="-112" w:right="-108"/>
              <w:jc w:val="center"/>
              <w:rPr>
                <w:sz w:val="16"/>
                <w:szCs w:val="16"/>
              </w:rPr>
            </w:pPr>
            <w:r w:rsidRPr="001D05E8">
              <w:rPr>
                <w:sz w:val="16"/>
                <w:szCs w:val="16"/>
              </w:rPr>
              <w:t>-</w:t>
            </w:r>
            <w:r w:rsidRPr="001D05E8">
              <w:rPr>
                <w:sz w:val="16"/>
                <w:szCs w:val="16"/>
              </w:rPr>
              <w:tab/>
              <w:t xml:space="preserve">Предоставяне на услуги за всички икономически сектори и населението, (например: грижи за деца, възрастни хора, хора с увреждания, здравни услуги, счетоводство и одиторски услуги, </w:t>
            </w:r>
            <w:r w:rsidRPr="001D05E8">
              <w:rPr>
                <w:sz w:val="16"/>
                <w:szCs w:val="16"/>
              </w:rPr>
              <w:lastRenderedPageBreak/>
              <w:t>ветеринарни дейности и услуги базирани на ИТ и др.);</w:t>
            </w:r>
          </w:p>
          <w:p w:rsidR="001D05E8" w:rsidRPr="001D05E8" w:rsidRDefault="001D05E8" w:rsidP="001D05E8">
            <w:pPr>
              <w:ind w:left="-112" w:right="-108"/>
              <w:jc w:val="center"/>
              <w:rPr>
                <w:sz w:val="16"/>
                <w:szCs w:val="16"/>
              </w:rPr>
            </w:pPr>
            <w:r w:rsidRPr="001D05E8">
              <w:rPr>
                <w:sz w:val="16"/>
                <w:szCs w:val="16"/>
              </w:rPr>
              <w:t>-</w:t>
            </w:r>
            <w:r w:rsidRPr="001D05E8">
              <w:rPr>
                <w:sz w:val="16"/>
                <w:szCs w:val="16"/>
              </w:rPr>
              <w:tab/>
              <w:t>развитието на технологиите в областта на „зелената икономика“, включително на енергия от ВЕИ за собствено потребление.</w:t>
            </w:r>
          </w:p>
        </w:tc>
        <w:tc>
          <w:tcPr>
            <w:tcW w:w="636" w:type="pct"/>
            <w:vAlign w:val="center"/>
          </w:tcPr>
          <w:p w:rsidR="001D05E8" w:rsidRPr="001D05E8" w:rsidRDefault="001D05E8" w:rsidP="001D05E8">
            <w:pPr>
              <w:ind w:left="-112" w:right="-108"/>
              <w:rPr>
                <w:sz w:val="16"/>
                <w:szCs w:val="16"/>
              </w:rPr>
            </w:pPr>
            <w:r w:rsidRPr="001D05E8">
              <w:rPr>
                <w:sz w:val="16"/>
                <w:szCs w:val="16"/>
              </w:rPr>
              <w:lastRenderedPageBreak/>
              <w:t>-</w:t>
            </w:r>
            <w:r w:rsidRPr="001D05E8">
              <w:rPr>
                <w:sz w:val="16"/>
                <w:szCs w:val="16"/>
              </w:rPr>
              <w:tab/>
              <w:t>Изграждане, придобиване и подобряване на недвижимо имущество, включително чрез лизинг;</w:t>
            </w:r>
          </w:p>
          <w:p w:rsidR="001D05E8" w:rsidRPr="001D05E8" w:rsidRDefault="001D05E8" w:rsidP="001D05E8">
            <w:pPr>
              <w:ind w:left="-112" w:right="-108"/>
              <w:rPr>
                <w:sz w:val="16"/>
                <w:szCs w:val="16"/>
              </w:rPr>
            </w:pPr>
            <w:r w:rsidRPr="001D05E8">
              <w:rPr>
                <w:sz w:val="16"/>
                <w:szCs w:val="16"/>
              </w:rPr>
              <w:t>-</w:t>
            </w:r>
            <w:r w:rsidRPr="001D05E8">
              <w:rPr>
                <w:sz w:val="16"/>
                <w:szCs w:val="16"/>
              </w:rPr>
              <w:tab/>
              <w:t>Закупуване на нови машини, съоръжения и оборудване, включително компютърен софтуер до пазарната стойност на активите, включително чрез лизинг;</w:t>
            </w:r>
          </w:p>
          <w:p w:rsidR="001D05E8" w:rsidRPr="001D05E8" w:rsidRDefault="001D05E8" w:rsidP="001D05E8">
            <w:pPr>
              <w:ind w:left="-112" w:right="-108"/>
              <w:rPr>
                <w:sz w:val="16"/>
                <w:szCs w:val="16"/>
              </w:rPr>
            </w:pPr>
            <w:r w:rsidRPr="001D05E8">
              <w:rPr>
                <w:sz w:val="16"/>
                <w:szCs w:val="16"/>
              </w:rPr>
              <w:t>-</w:t>
            </w:r>
            <w:r w:rsidRPr="001D05E8">
              <w:rPr>
                <w:sz w:val="16"/>
                <w:szCs w:val="16"/>
              </w:rPr>
              <w:tab/>
              <w:t>Общи разходи свързани със съответния проект за предпроектни проучвания, такси, хонорари за архитекти, инженери и консултантски услуги, в размер до 12% от  сумата на разходите.</w:t>
            </w:r>
          </w:p>
          <w:p w:rsidR="001D05E8" w:rsidRPr="001D05E8" w:rsidRDefault="001D05E8" w:rsidP="001D05E8">
            <w:pPr>
              <w:ind w:left="-112" w:right="-108"/>
              <w:rPr>
                <w:sz w:val="16"/>
                <w:szCs w:val="16"/>
              </w:rPr>
            </w:pPr>
            <w:r w:rsidRPr="001D05E8">
              <w:rPr>
                <w:sz w:val="16"/>
                <w:szCs w:val="16"/>
              </w:rPr>
              <w:t>-</w:t>
            </w:r>
            <w:r w:rsidRPr="001D05E8">
              <w:rPr>
                <w:sz w:val="16"/>
                <w:szCs w:val="16"/>
              </w:rPr>
              <w:tab/>
              <w:t>Закупуване на ноу-хау, патенти права и лицензи, търговски марки и процеси необходими за изготвяне и изпълнение на проекта.</w:t>
            </w:r>
          </w:p>
        </w:tc>
        <w:tc>
          <w:tcPr>
            <w:tcW w:w="254" w:type="pct"/>
            <w:vAlign w:val="center"/>
          </w:tcPr>
          <w:p w:rsidR="001D05E8" w:rsidRPr="001D05E8" w:rsidRDefault="001D05E8" w:rsidP="001D05E8">
            <w:pPr>
              <w:ind w:left="-112" w:right="-108"/>
              <w:jc w:val="center"/>
              <w:rPr>
                <w:sz w:val="16"/>
                <w:szCs w:val="16"/>
              </w:rPr>
            </w:pPr>
            <w:r w:rsidRPr="001D05E8">
              <w:rPr>
                <w:sz w:val="16"/>
                <w:szCs w:val="16"/>
              </w:rPr>
              <w:t>85%</w:t>
            </w:r>
          </w:p>
        </w:tc>
        <w:tc>
          <w:tcPr>
            <w:tcW w:w="212" w:type="pct"/>
            <w:vAlign w:val="center"/>
          </w:tcPr>
          <w:p w:rsidR="001D05E8" w:rsidRPr="001D05E8" w:rsidRDefault="001D05E8" w:rsidP="001D05E8">
            <w:pPr>
              <w:ind w:left="-112" w:right="-108"/>
              <w:jc w:val="center"/>
              <w:rPr>
                <w:sz w:val="16"/>
                <w:szCs w:val="16"/>
              </w:rPr>
            </w:pPr>
            <w:r w:rsidRPr="001D05E8">
              <w:rPr>
                <w:sz w:val="16"/>
                <w:szCs w:val="16"/>
              </w:rPr>
              <w:t>Ноември</w:t>
            </w:r>
          </w:p>
          <w:p w:rsidR="001D05E8" w:rsidRPr="001D05E8" w:rsidRDefault="001D05E8" w:rsidP="001D05E8">
            <w:pPr>
              <w:ind w:left="-112" w:right="-108"/>
              <w:jc w:val="center"/>
              <w:rPr>
                <w:sz w:val="16"/>
                <w:szCs w:val="16"/>
              </w:rPr>
            </w:pPr>
            <w:r w:rsidRPr="001D05E8">
              <w:rPr>
                <w:sz w:val="16"/>
                <w:szCs w:val="16"/>
              </w:rPr>
              <w:t>2020 г.</w:t>
            </w:r>
          </w:p>
        </w:tc>
        <w:tc>
          <w:tcPr>
            <w:tcW w:w="230" w:type="pct"/>
            <w:vAlign w:val="center"/>
          </w:tcPr>
          <w:p w:rsidR="001D05E8" w:rsidRPr="001D05E8" w:rsidRDefault="001D05E8" w:rsidP="001D05E8">
            <w:pPr>
              <w:ind w:left="-112" w:right="-108"/>
              <w:jc w:val="center"/>
              <w:rPr>
                <w:sz w:val="16"/>
                <w:szCs w:val="16"/>
              </w:rPr>
            </w:pPr>
            <w:r w:rsidRPr="001D05E8">
              <w:rPr>
                <w:sz w:val="16"/>
                <w:szCs w:val="16"/>
              </w:rPr>
              <w:t>Декември</w:t>
            </w:r>
          </w:p>
          <w:p w:rsidR="001D05E8" w:rsidRPr="001D05E8" w:rsidRDefault="001D05E8" w:rsidP="001D05E8">
            <w:pPr>
              <w:ind w:left="-112" w:right="-108"/>
              <w:jc w:val="center"/>
              <w:rPr>
                <w:sz w:val="16"/>
                <w:szCs w:val="16"/>
              </w:rPr>
            </w:pPr>
            <w:r w:rsidRPr="001D05E8">
              <w:rPr>
                <w:sz w:val="16"/>
                <w:szCs w:val="16"/>
              </w:rPr>
              <w:t>2020 г.</w:t>
            </w:r>
          </w:p>
        </w:tc>
        <w:tc>
          <w:tcPr>
            <w:tcW w:w="242"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243" w:type="pct"/>
            <w:vAlign w:val="center"/>
          </w:tcPr>
          <w:p w:rsidR="001D05E8" w:rsidRPr="001D05E8" w:rsidRDefault="001D05E8" w:rsidP="001D05E8">
            <w:pPr>
              <w:ind w:left="-112" w:right="-108"/>
              <w:jc w:val="center"/>
              <w:rPr>
                <w:sz w:val="16"/>
                <w:szCs w:val="16"/>
              </w:rPr>
            </w:pPr>
            <w:r w:rsidRPr="001D05E8">
              <w:rPr>
                <w:sz w:val="16"/>
                <w:szCs w:val="16"/>
              </w:rPr>
              <w:t>Да</w:t>
            </w:r>
          </w:p>
        </w:tc>
        <w:tc>
          <w:tcPr>
            <w:tcW w:w="259" w:type="pct"/>
            <w:vAlign w:val="center"/>
          </w:tcPr>
          <w:p w:rsidR="001D05E8" w:rsidRPr="001D05E8" w:rsidRDefault="001D05E8" w:rsidP="001D05E8">
            <w:pPr>
              <w:ind w:left="-112" w:right="-108"/>
              <w:jc w:val="center"/>
              <w:rPr>
                <w:sz w:val="16"/>
                <w:szCs w:val="16"/>
              </w:rPr>
            </w:pPr>
            <w:r w:rsidRPr="001D05E8">
              <w:rPr>
                <w:sz w:val="16"/>
                <w:szCs w:val="16"/>
              </w:rPr>
              <w:t>Левовата равностойност на 5 000 евро</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Левовата равностойност на 70 000 евро</w:t>
            </w:r>
          </w:p>
        </w:tc>
      </w:tr>
      <w:tr w:rsidR="00C23F62" w:rsidRPr="001D05E8" w:rsidTr="00D66DDD">
        <w:tc>
          <w:tcPr>
            <w:tcW w:w="212" w:type="pct"/>
            <w:vAlign w:val="center"/>
          </w:tcPr>
          <w:p w:rsidR="001D05E8" w:rsidRPr="001D05E8" w:rsidRDefault="001D05E8" w:rsidP="001D05E8">
            <w:pPr>
              <w:ind w:left="-108" w:right="-108"/>
              <w:jc w:val="center"/>
              <w:rPr>
                <w:sz w:val="16"/>
                <w:szCs w:val="16"/>
              </w:rPr>
            </w:pPr>
            <w:r w:rsidRPr="001D05E8">
              <w:rPr>
                <w:sz w:val="16"/>
                <w:szCs w:val="16"/>
                <w:lang w:val="en-GB"/>
              </w:rPr>
              <w:lastRenderedPageBreak/>
              <w:t>1</w:t>
            </w:r>
            <w:r w:rsidRPr="001D05E8">
              <w:rPr>
                <w:sz w:val="16"/>
                <w:szCs w:val="16"/>
              </w:rPr>
              <w:t>1.</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Подмярка 7.3 „Широколентова инфраструктура, включително нейното създаване, подобрение и разширение”</w:t>
            </w:r>
          </w:p>
        </w:tc>
        <w:tc>
          <w:tcPr>
            <w:tcW w:w="339" w:type="pct"/>
            <w:vAlign w:val="center"/>
          </w:tcPr>
          <w:p w:rsidR="001D05E8" w:rsidRPr="001D05E8" w:rsidRDefault="001D05E8" w:rsidP="001D05E8">
            <w:pPr>
              <w:ind w:left="-112" w:right="-108"/>
              <w:jc w:val="center"/>
              <w:rPr>
                <w:sz w:val="16"/>
                <w:szCs w:val="16"/>
              </w:rPr>
            </w:pPr>
            <w:r w:rsidRPr="001D05E8">
              <w:rPr>
                <w:sz w:val="16"/>
                <w:szCs w:val="16"/>
              </w:rPr>
              <w:t>Създаване на широколентова инфраструктура за достъп от следващо поколение и осигуряване на активно оборудване за свързаност към облак на електронно управление в бели и сиви зони</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Подбор на проектни предложения</w:t>
            </w:r>
          </w:p>
        </w:tc>
        <w:tc>
          <w:tcPr>
            <w:tcW w:w="208"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40 000 000 евро</w:t>
            </w:r>
          </w:p>
        </w:tc>
        <w:tc>
          <w:tcPr>
            <w:tcW w:w="483" w:type="pct"/>
            <w:vAlign w:val="center"/>
          </w:tcPr>
          <w:p w:rsidR="001D05E8" w:rsidRPr="001D05E8" w:rsidRDefault="001D05E8" w:rsidP="001D05E8">
            <w:pPr>
              <w:jc w:val="center"/>
              <w:rPr>
                <w:sz w:val="16"/>
                <w:szCs w:val="16"/>
              </w:rPr>
            </w:pPr>
            <w:r w:rsidRPr="001D05E8">
              <w:rPr>
                <w:sz w:val="16"/>
                <w:szCs w:val="16"/>
              </w:rPr>
              <w:t>Държавна агенция "Електронно управление"</w:t>
            </w:r>
          </w:p>
        </w:tc>
        <w:tc>
          <w:tcPr>
            <w:tcW w:w="452" w:type="pct"/>
            <w:vAlign w:val="center"/>
          </w:tcPr>
          <w:p w:rsidR="001D05E8" w:rsidRPr="001D05E8" w:rsidRDefault="001D05E8" w:rsidP="001D05E8">
            <w:pPr>
              <w:jc w:val="center"/>
              <w:rPr>
                <w:sz w:val="16"/>
                <w:szCs w:val="16"/>
              </w:rPr>
            </w:pPr>
            <w:r w:rsidRPr="001D05E8">
              <w:rPr>
                <w:sz w:val="16"/>
                <w:szCs w:val="16"/>
              </w:rPr>
              <w:t>Инвестиции за създаване на широколентова инфраструктура</w:t>
            </w:r>
          </w:p>
        </w:tc>
        <w:tc>
          <w:tcPr>
            <w:tcW w:w="636" w:type="pct"/>
            <w:vAlign w:val="center"/>
          </w:tcPr>
          <w:p w:rsidR="001D05E8" w:rsidRPr="001D05E8" w:rsidRDefault="001D05E8" w:rsidP="001D05E8">
            <w:pPr>
              <w:ind w:left="-108"/>
              <w:rPr>
                <w:sz w:val="16"/>
                <w:szCs w:val="16"/>
              </w:rPr>
            </w:pPr>
            <w:r w:rsidRPr="001D05E8">
              <w:rPr>
                <w:sz w:val="16"/>
                <w:szCs w:val="16"/>
              </w:rPr>
              <w:t>Изграждане на пасивна широколентова инфраструктура за достъп от ново поколение (напр. строителни дейности като канали, както и оптични кабели, стълбове, помещения);</w:t>
            </w:r>
          </w:p>
          <w:p w:rsidR="001D05E8" w:rsidRPr="001D05E8" w:rsidRDefault="001D05E8" w:rsidP="001D05E8">
            <w:pPr>
              <w:ind w:left="-108"/>
              <w:rPr>
                <w:sz w:val="16"/>
                <w:szCs w:val="16"/>
              </w:rPr>
            </w:pPr>
            <w:r w:rsidRPr="001D05E8">
              <w:rPr>
                <w:sz w:val="16"/>
                <w:szCs w:val="16"/>
              </w:rPr>
              <w:t>Закупуване и инсталиране на агрегиращо активно оборудване (напр. предаватели, рутери и комутатори, сървъри за контрол и управление);</w:t>
            </w:r>
          </w:p>
          <w:p w:rsidR="001D05E8" w:rsidRPr="001D05E8" w:rsidRDefault="001D05E8" w:rsidP="001D05E8">
            <w:pPr>
              <w:ind w:left="-108"/>
              <w:rPr>
                <w:sz w:val="16"/>
                <w:szCs w:val="16"/>
              </w:rPr>
            </w:pPr>
            <w:r w:rsidRPr="001D05E8">
              <w:rPr>
                <w:sz w:val="16"/>
                <w:szCs w:val="16"/>
              </w:rPr>
              <w:t>Нематериални инвестиции: придобиване или развитие на компютърен софтуер и придобиване на патенти, лицензи, авторски права, търговски марки;</w:t>
            </w:r>
          </w:p>
          <w:p w:rsidR="001D05E8" w:rsidRPr="001D05E8" w:rsidRDefault="001D05E8" w:rsidP="001D05E8">
            <w:pPr>
              <w:ind w:left="-108"/>
              <w:rPr>
                <w:sz w:val="16"/>
                <w:szCs w:val="16"/>
              </w:rPr>
            </w:pPr>
            <w:r w:rsidRPr="001D05E8">
              <w:rPr>
                <w:sz w:val="16"/>
                <w:szCs w:val="16"/>
              </w:rPr>
              <w:t>Общи разходи, свързани с изброените по-горе, например такси, хонорари на архитекти, инженери и консултанти, хонорари, свързани с консултации относно екологичната и икономическата устойчивост</w:t>
            </w:r>
          </w:p>
          <w:p w:rsidR="001D05E8" w:rsidRPr="001D05E8" w:rsidRDefault="001D05E8" w:rsidP="001D05E8">
            <w:pPr>
              <w:ind w:left="-108"/>
              <w:rPr>
                <w:sz w:val="16"/>
                <w:szCs w:val="16"/>
              </w:rPr>
            </w:pPr>
          </w:p>
        </w:tc>
        <w:tc>
          <w:tcPr>
            <w:tcW w:w="254" w:type="pct"/>
            <w:vAlign w:val="center"/>
          </w:tcPr>
          <w:p w:rsidR="001D05E8" w:rsidRPr="001D05E8" w:rsidRDefault="001D05E8" w:rsidP="001D05E8">
            <w:pPr>
              <w:jc w:val="center"/>
              <w:rPr>
                <w:sz w:val="16"/>
                <w:szCs w:val="16"/>
              </w:rPr>
            </w:pPr>
            <w:r w:rsidRPr="001D05E8">
              <w:rPr>
                <w:sz w:val="16"/>
                <w:szCs w:val="16"/>
              </w:rPr>
              <w:lastRenderedPageBreak/>
              <w:t>Финансовата помощ за дейности за създаване на широколентова инфраструктура ще се определя въз основа на анализ Разходи-ползи по методология в съответствие с разпоредбите на чл. 61 от Регламе</w:t>
            </w:r>
            <w:r w:rsidRPr="001D05E8">
              <w:rPr>
                <w:sz w:val="16"/>
                <w:szCs w:val="16"/>
              </w:rPr>
              <w:lastRenderedPageBreak/>
              <w:t>нт (ЕС) № 1303/2013 от 17 декември 2013 година</w:t>
            </w:r>
          </w:p>
        </w:tc>
        <w:tc>
          <w:tcPr>
            <w:tcW w:w="212" w:type="pct"/>
            <w:vAlign w:val="center"/>
          </w:tcPr>
          <w:p w:rsidR="001D05E8" w:rsidRPr="001D05E8" w:rsidRDefault="001D05E8" w:rsidP="001D05E8">
            <w:pPr>
              <w:jc w:val="center"/>
              <w:rPr>
                <w:sz w:val="16"/>
                <w:szCs w:val="16"/>
              </w:rPr>
            </w:pPr>
            <w:r w:rsidRPr="001D05E8">
              <w:rPr>
                <w:sz w:val="16"/>
                <w:szCs w:val="16"/>
              </w:rPr>
              <w:lastRenderedPageBreak/>
              <w:t>Декември 2020 г.</w:t>
            </w:r>
          </w:p>
        </w:tc>
        <w:tc>
          <w:tcPr>
            <w:tcW w:w="230" w:type="pct"/>
            <w:vAlign w:val="center"/>
          </w:tcPr>
          <w:p w:rsidR="001D05E8" w:rsidRPr="001D05E8" w:rsidRDefault="001D05E8" w:rsidP="001D05E8">
            <w:pPr>
              <w:ind w:left="-107"/>
              <w:jc w:val="center"/>
              <w:rPr>
                <w:sz w:val="16"/>
                <w:szCs w:val="16"/>
                <w:lang w:val="en-GB"/>
              </w:rPr>
            </w:pPr>
            <w:r w:rsidRPr="001D05E8">
              <w:rPr>
                <w:sz w:val="16"/>
                <w:szCs w:val="16"/>
              </w:rPr>
              <w:t xml:space="preserve">Март </w:t>
            </w:r>
          </w:p>
          <w:p w:rsidR="001D05E8" w:rsidRPr="001D05E8" w:rsidRDefault="001D05E8" w:rsidP="001D05E8">
            <w:pPr>
              <w:ind w:left="-107"/>
              <w:jc w:val="center"/>
              <w:rPr>
                <w:sz w:val="16"/>
                <w:szCs w:val="16"/>
              </w:rPr>
            </w:pPr>
            <w:r w:rsidRPr="001D05E8">
              <w:rPr>
                <w:sz w:val="16"/>
                <w:szCs w:val="16"/>
              </w:rPr>
              <w:t>2021 г.</w:t>
            </w:r>
          </w:p>
        </w:tc>
        <w:tc>
          <w:tcPr>
            <w:tcW w:w="242" w:type="pct"/>
            <w:vAlign w:val="center"/>
          </w:tcPr>
          <w:p w:rsidR="001D05E8" w:rsidRPr="001D05E8" w:rsidRDefault="001D05E8" w:rsidP="001D05E8">
            <w:pPr>
              <w:ind w:left="-102" w:right="-146"/>
              <w:jc w:val="center"/>
              <w:rPr>
                <w:sz w:val="16"/>
                <w:szCs w:val="16"/>
              </w:rPr>
            </w:pPr>
            <w:r w:rsidRPr="001D05E8">
              <w:rPr>
                <w:sz w:val="16"/>
                <w:szCs w:val="16"/>
              </w:rPr>
              <w:t>Да</w:t>
            </w:r>
          </w:p>
        </w:tc>
        <w:tc>
          <w:tcPr>
            <w:tcW w:w="243" w:type="pct"/>
            <w:vAlign w:val="center"/>
          </w:tcPr>
          <w:p w:rsidR="001D05E8" w:rsidRPr="001D05E8" w:rsidRDefault="001D05E8" w:rsidP="001D05E8">
            <w:pPr>
              <w:ind w:left="-102" w:right="-146"/>
              <w:jc w:val="center"/>
              <w:rPr>
                <w:sz w:val="16"/>
                <w:szCs w:val="16"/>
              </w:rPr>
            </w:pPr>
            <w:r w:rsidRPr="001D05E8">
              <w:rPr>
                <w:sz w:val="16"/>
                <w:szCs w:val="16"/>
              </w:rPr>
              <w:t>Не</w:t>
            </w:r>
          </w:p>
        </w:tc>
        <w:tc>
          <w:tcPr>
            <w:tcW w:w="259" w:type="pct"/>
            <w:vAlign w:val="center"/>
          </w:tcPr>
          <w:p w:rsidR="001D05E8" w:rsidRPr="001D05E8" w:rsidRDefault="001D05E8" w:rsidP="001D05E8">
            <w:pPr>
              <w:ind w:left="-98"/>
              <w:jc w:val="center"/>
              <w:rPr>
                <w:sz w:val="16"/>
                <w:szCs w:val="16"/>
              </w:rPr>
            </w:pPr>
            <w:r w:rsidRPr="001D05E8">
              <w:rPr>
                <w:sz w:val="16"/>
                <w:szCs w:val="16"/>
              </w:rPr>
              <w:t>Непр.</w:t>
            </w:r>
          </w:p>
        </w:tc>
        <w:tc>
          <w:tcPr>
            <w:tcW w:w="297" w:type="pct"/>
            <w:vAlign w:val="center"/>
          </w:tcPr>
          <w:p w:rsidR="001D05E8" w:rsidRPr="001D05E8" w:rsidRDefault="001D05E8" w:rsidP="001D05E8">
            <w:pPr>
              <w:jc w:val="center"/>
              <w:rPr>
                <w:sz w:val="16"/>
                <w:szCs w:val="16"/>
              </w:rPr>
            </w:pPr>
            <w:r w:rsidRPr="001D05E8">
              <w:rPr>
                <w:sz w:val="16"/>
                <w:szCs w:val="16"/>
              </w:rPr>
              <w:t>Непр.</w:t>
            </w:r>
          </w:p>
        </w:tc>
      </w:tr>
      <w:tr w:rsidR="00C23F62" w:rsidRPr="001D05E8" w:rsidTr="00D66DDD">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108"/>
              <w:jc w:val="center"/>
              <w:rPr>
                <w:sz w:val="16"/>
                <w:szCs w:val="16"/>
              </w:rPr>
            </w:pPr>
            <w:r w:rsidRPr="001D05E8">
              <w:rPr>
                <w:sz w:val="16"/>
                <w:szCs w:val="16"/>
              </w:rPr>
              <w:lastRenderedPageBreak/>
              <w:t>1</w:t>
            </w:r>
            <w:r w:rsidRPr="001D05E8">
              <w:rPr>
                <w:sz w:val="16"/>
                <w:szCs w:val="16"/>
                <w:lang w:val="en-GB"/>
              </w:rPr>
              <w:t>2</w:t>
            </w:r>
            <w:r w:rsidRPr="001D05E8">
              <w:rPr>
                <w:sz w:val="16"/>
                <w:szCs w:val="16"/>
              </w:rPr>
              <w:t>.</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Подмярка 7.6 „Проучване и инвестиции, свързани с поддържане, възстановяване и на културното и природното наследство на селата“ </w:t>
            </w:r>
          </w:p>
        </w:tc>
        <w:tc>
          <w:tcPr>
            <w:tcW w:w="33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Запазване на духовния и културния живот на населението в селските райони; запазване на културната идентичност и традиции в селските райони и да се повиши качеството на живот на хората, живеещи в тях</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Подбор на проектни предложения</w:t>
            </w:r>
          </w:p>
        </w:tc>
        <w:tc>
          <w:tcPr>
            <w:tcW w:w="20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 До левовата равностойност на 14 532 817 евро</w:t>
            </w:r>
          </w:p>
        </w:tc>
        <w:tc>
          <w:tcPr>
            <w:tcW w:w="48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jc w:val="center"/>
              <w:rPr>
                <w:sz w:val="16"/>
                <w:szCs w:val="16"/>
              </w:rPr>
            </w:pPr>
            <w:r w:rsidRPr="001D05E8">
              <w:rPr>
                <w:sz w:val="16"/>
                <w:szCs w:val="16"/>
              </w:rPr>
              <w:t>Местни поделения на вероизповеданията</w:t>
            </w:r>
          </w:p>
        </w:tc>
        <w:tc>
          <w:tcPr>
            <w:tcW w:w="45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jc w:val="center"/>
              <w:rPr>
                <w:sz w:val="16"/>
                <w:szCs w:val="16"/>
              </w:rPr>
            </w:pPr>
            <w:r w:rsidRPr="001D05E8">
              <w:rPr>
                <w:sz w:val="16"/>
                <w:szCs w:val="16"/>
              </w:rPr>
              <w:t>Дейности за възстановяване, реставрация, ремонт и/или реконструкция на сгради с религиозно значение, в това число и дейности по вертикалната планировка и подобряване на прилежащите пространства</w:t>
            </w:r>
          </w:p>
        </w:tc>
        <w:tc>
          <w:tcPr>
            <w:tcW w:w="636"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Pr>
                <w:sz w:val="16"/>
                <w:szCs w:val="16"/>
              </w:rPr>
            </w:pPr>
            <w:r w:rsidRPr="001D05E8">
              <w:rPr>
                <w:sz w:val="16"/>
                <w:szCs w:val="16"/>
              </w:rPr>
              <w:t>Подобрения на недвижимо имущество;</w:t>
            </w:r>
          </w:p>
          <w:p w:rsidR="001D05E8" w:rsidRPr="001D05E8" w:rsidRDefault="001D05E8" w:rsidP="001D05E8">
            <w:pPr>
              <w:ind w:left="-108"/>
              <w:rPr>
                <w:sz w:val="16"/>
                <w:szCs w:val="16"/>
              </w:rPr>
            </w:pPr>
            <w:r w:rsidRPr="001D05E8">
              <w:rPr>
                <w:sz w:val="16"/>
                <w:szCs w:val="16"/>
              </w:rPr>
              <w:t>Закупуване или вземане на лизинг на нови машини и оборудване, обзавеждане до пазарната цена на актива; Нематериални инвестиции;</w:t>
            </w:r>
          </w:p>
          <w:p w:rsidR="001D05E8" w:rsidRPr="001D05E8" w:rsidRDefault="001D05E8" w:rsidP="001D05E8">
            <w:pPr>
              <w:ind w:left="-108"/>
              <w:rPr>
                <w:sz w:val="16"/>
                <w:szCs w:val="16"/>
              </w:rPr>
            </w:pPr>
            <w:r w:rsidRPr="001D05E8">
              <w:rPr>
                <w:sz w:val="16"/>
                <w:szCs w:val="16"/>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p>
        </w:tc>
        <w:tc>
          <w:tcPr>
            <w:tcW w:w="254"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До 100 %</w:t>
            </w:r>
          </w:p>
        </w:tc>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jc w:val="center"/>
              <w:rPr>
                <w:sz w:val="16"/>
                <w:szCs w:val="16"/>
              </w:rPr>
            </w:pPr>
            <w:r w:rsidRPr="001D05E8">
              <w:rPr>
                <w:sz w:val="16"/>
                <w:szCs w:val="16"/>
              </w:rPr>
              <w:t>Юни</w:t>
            </w:r>
          </w:p>
          <w:p w:rsidR="001D05E8" w:rsidRPr="001D05E8" w:rsidRDefault="001D05E8" w:rsidP="001D05E8">
            <w:pPr>
              <w:jc w:val="center"/>
              <w:rPr>
                <w:sz w:val="16"/>
                <w:szCs w:val="16"/>
              </w:rPr>
            </w:pPr>
            <w:r w:rsidRPr="001D05E8">
              <w:rPr>
                <w:sz w:val="16"/>
                <w:szCs w:val="16"/>
              </w:rPr>
              <w:t xml:space="preserve"> 2020 г.</w:t>
            </w:r>
          </w:p>
        </w:tc>
        <w:tc>
          <w:tcPr>
            <w:tcW w:w="230"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7"/>
              <w:jc w:val="center"/>
              <w:rPr>
                <w:sz w:val="16"/>
                <w:szCs w:val="16"/>
              </w:rPr>
            </w:pPr>
            <w:r w:rsidRPr="001D05E8">
              <w:rPr>
                <w:sz w:val="16"/>
                <w:szCs w:val="16"/>
              </w:rPr>
              <w:t>Септември</w:t>
            </w:r>
          </w:p>
          <w:p w:rsidR="001D05E8" w:rsidRPr="001D05E8" w:rsidRDefault="001D05E8" w:rsidP="001D05E8">
            <w:pPr>
              <w:ind w:left="-107"/>
              <w:jc w:val="center"/>
              <w:rPr>
                <w:sz w:val="16"/>
                <w:szCs w:val="16"/>
              </w:rPr>
            </w:pPr>
            <w:r w:rsidRPr="001D05E8">
              <w:rPr>
                <w:sz w:val="16"/>
                <w:szCs w:val="16"/>
              </w:rPr>
              <w:t>2020 г.</w:t>
            </w:r>
          </w:p>
        </w:tc>
        <w:tc>
          <w:tcPr>
            <w:tcW w:w="242" w:type="pct"/>
            <w:tcBorders>
              <w:top w:val="single" w:sz="4" w:space="0" w:color="auto"/>
              <w:left w:val="single" w:sz="4" w:space="0" w:color="auto"/>
              <w:bottom w:val="single" w:sz="4" w:space="0" w:color="auto"/>
              <w:right w:val="single" w:sz="4" w:space="0" w:color="auto"/>
            </w:tcBorders>
            <w:vAlign w:val="center"/>
          </w:tcPr>
          <w:p w:rsidR="001D05E8" w:rsidRPr="001D05E8" w:rsidRDefault="007916CB" w:rsidP="001629B4">
            <w:pPr>
              <w:ind w:left="-102" w:right="-146"/>
              <w:jc w:val="center"/>
              <w:rPr>
                <w:sz w:val="16"/>
                <w:szCs w:val="16"/>
              </w:rPr>
            </w:pPr>
            <w:r>
              <w:rPr>
                <w:sz w:val="16"/>
                <w:szCs w:val="16"/>
              </w:rPr>
              <w:t>Не</w:t>
            </w:r>
          </w:p>
        </w:tc>
        <w:tc>
          <w:tcPr>
            <w:tcW w:w="24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2" w:right="-146"/>
              <w:jc w:val="center"/>
              <w:rPr>
                <w:sz w:val="16"/>
                <w:szCs w:val="16"/>
              </w:rPr>
            </w:pPr>
            <w:r w:rsidRPr="001D05E8">
              <w:rPr>
                <w:sz w:val="16"/>
                <w:szCs w:val="16"/>
              </w:rPr>
              <w:t>Не</w:t>
            </w:r>
          </w:p>
        </w:tc>
        <w:tc>
          <w:tcPr>
            <w:tcW w:w="25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98"/>
              <w:jc w:val="center"/>
              <w:rPr>
                <w:sz w:val="16"/>
                <w:szCs w:val="16"/>
              </w:rPr>
            </w:pPr>
            <w:r w:rsidRPr="001D05E8">
              <w:rPr>
                <w:sz w:val="16"/>
                <w:szCs w:val="16"/>
              </w:rPr>
              <w:t>Непр.</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jc w:val="center"/>
              <w:rPr>
                <w:sz w:val="16"/>
                <w:szCs w:val="16"/>
              </w:rPr>
            </w:pPr>
            <w:r w:rsidRPr="001D05E8">
              <w:rPr>
                <w:sz w:val="16"/>
                <w:szCs w:val="16"/>
              </w:rPr>
              <w:t>Левовата равностойност на 300 000 евро</w:t>
            </w:r>
          </w:p>
        </w:tc>
      </w:tr>
      <w:tr w:rsidR="00C23F62" w:rsidRPr="001D05E8" w:rsidTr="00D66DDD">
        <w:tc>
          <w:tcPr>
            <w:tcW w:w="212" w:type="pct"/>
            <w:vAlign w:val="center"/>
          </w:tcPr>
          <w:p w:rsidR="001D05E8" w:rsidRPr="001D05E8" w:rsidRDefault="001D05E8" w:rsidP="001D05E8">
            <w:pPr>
              <w:ind w:left="-108" w:right="-108"/>
              <w:jc w:val="center"/>
              <w:rPr>
                <w:sz w:val="16"/>
                <w:szCs w:val="16"/>
              </w:rPr>
            </w:pPr>
            <w:r w:rsidRPr="001D05E8">
              <w:rPr>
                <w:sz w:val="16"/>
                <w:szCs w:val="16"/>
                <w:lang w:val="en-GB"/>
              </w:rPr>
              <w:t>1</w:t>
            </w:r>
            <w:r w:rsidRPr="001D05E8">
              <w:rPr>
                <w:sz w:val="16"/>
                <w:szCs w:val="16"/>
              </w:rPr>
              <w:t>3.</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Подмярка 8.1. „Залесяване и поддръжка“</w:t>
            </w:r>
          </w:p>
        </w:tc>
        <w:tc>
          <w:tcPr>
            <w:tcW w:w="339" w:type="pct"/>
            <w:vAlign w:val="center"/>
          </w:tcPr>
          <w:p w:rsidR="001D05E8" w:rsidRPr="001D05E8" w:rsidRDefault="001D05E8" w:rsidP="001D05E8">
            <w:pPr>
              <w:ind w:left="-112" w:right="-108"/>
              <w:jc w:val="center"/>
              <w:rPr>
                <w:sz w:val="16"/>
                <w:szCs w:val="16"/>
              </w:rPr>
            </w:pPr>
            <w:r w:rsidRPr="001D05E8">
              <w:rPr>
                <w:sz w:val="16"/>
                <w:szCs w:val="16"/>
              </w:rPr>
              <w:t>Подпомагане за залесяване и създаване на горски масиви чрез почвоподготовка, закупуване на залесителен материал, ограждане на залесените територии и др.</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Подбор на проектни предложения.</w:t>
            </w:r>
          </w:p>
        </w:tc>
        <w:tc>
          <w:tcPr>
            <w:tcW w:w="208"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9 217 778   евро</w:t>
            </w:r>
          </w:p>
        </w:tc>
        <w:tc>
          <w:tcPr>
            <w:tcW w:w="483" w:type="pct"/>
            <w:vAlign w:val="center"/>
          </w:tcPr>
          <w:p w:rsidR="001D05E8" w:rsidRPr="001D05E8" w:rsidRDefault="001D05E8" w:rsidP="001D05E8">
            <w:pPr>
              <w:ind w:left="-112" w:right="-108"/>
              <w:jc w:val="center"/>
              <w:rPr>
                <w:sz w:val="16"/>
                <w:szCs w:val="16"/>
              </w:rPr>
            </w:pPr>
            <w:r w:rsidRPr="001D05E8">
              <w:rPr>
                <w:sz w:val="16"/>
                <w:szCs w:val="16"/>
              </w:rPr>
              <w:t>•</w:t>
            </w:r>
            <w:r w:rsidRPr="001D05E8">
              <w:rPr>
                <w:sz w:val="16"/>
                <w:szCs w:val="16"/>
              </w:rPr>
              <w:tab/>
              <w:t>Физически и юридически лица и местни поделения на вероизповеданията, собственици на земеделски и неземеделски земи;</w:t>
            </w:r>
          </w:p>
          <w:p w:rsidR="001D05E8" w:rsidRPr="001D05E8" w:rsidRDefault="001D05E8" w:rsidP="001D05E8">
            <w:pPr>
              <w:ind w:left="-112" w:right="-108"/>
              <w:jc w:val="center"/>
              <w:rPr>
                <w:sz w:val="16"/>
                <w:szCs w:val="16"/>
              </w:rPr>
            </w:pPr>
            <w:r w:rsidRPr="001D05E8">
              <w:rPr>
                <w:sz w:val="16"/>
                <w:szCs w:val="16"/>
              </w:rPr>
              <w:t>•</w:t>
            </w:r>
            <w:r w:rsidRPr="001D05E8">
              <w:rPr>
                <w:sz w:val="16"/>
                <w:szCs w:val="16"/>
              </w:rPr>
              <w:tab/>
              <w:t>Общини, собственици/стопанисващи земеделски и неземеделски земи;</w:t>
            </w:r>
          </w:p>
          <w:p w:rsidR="001D05E8" w:rsidRPr="001D05E8" w:rsidRDefault="001D05E8" w:rsidP="001D05E8">
            <w:pPr>
              <w:ind w:left="-112" w:right="-108"/>
              <w:jc w:val="center"/>
              <w:rPr>
                <w:sz w:val="16"/>
                <w:szCs w:val="16"/>
              </w:rPr>
            </w:pPr>
            <w:r w:rsidRPr="001D05E8">
              <w:rPr>
                <w:sz w:val="16"/>
                <w:szCs w:val="16"/>
              </w:rPr>
              <w:t>•</w:t>
            </w:r>
            <w:r w:rsidRPr="001D05E8">
              <w:rPr>
                <w:sz w:val="16"/>
                <w:szCs w:val="16"/>
              </w:rPr>
              <w:tab/>
              <w:t xml:space="preserve">Юридически лица - частноправни субекти, стопанисващи земеделски и неземеделски земи, в </w:t>
            </w:r>
            <w:r w:rsidRPr="001D05E8">
              <w:rPr>
                <w:sz w:val="16"/>
                <w:szCs w:val="16"/>
              </w:rPr>
              <w:lastRenderedPageBreak/>
              <w:t>т.ч. и Държавни предприятия по чл. 163 от Закона за горите, управляващи земеделски и неземеделски земи.</w:t>
            </w:r>
          </w:p>
        </w:tc>
        <w:tc>
          <w:tcPr>
            <w:tcW w:w="452" w:type="pct"/>
            <w:vAlign w:val="center"/>
          </w:tcPr>
          <w:p w:rsidR="001D05E8" w:rsidRPr="001D05E8" w:rsidRDefault="001D05E8" w:rsidP="001D05E8">
            <w:pPr>
              <w:ind w:left="-112" w:right="-108"/>
              <w:jc w:val="center"/>
              <w:rPr>
                <w:sz w:val="16"/>
                <w:szCs w:val="16"/>
              </w:rPr>
            </w:pPr>
            <w:r w:rsidRPr="001D05E8">
              <w:rPr>
                <w:sz w:val="16"/>
                <w:szCs w:val="16"/>
              </w:rPr>
              <w:lastRenderedPageBreak/>
              <w:t>Почвоподготовка  и залесяване на горски територии.</w:t>
            </w:r>
          </w:p>
          <w:p w:rsidR="001D05E8" w:rsidRPr="001D05E8" w:rsidRDefault="001D05E8" w:rsidP="001D05E8">
            <w:pPr>
              <w:ind w:left="-112" w:right="-108"/>
              <w:jc w:val="center"/>
              <w:rPr>
                <w:sz w:val="16"/>
                <w:szCs w:val="16"/>
              </w:rPr>
            </w:pPr>
            <w:r w:rsidRPr="001D05E8">
              <w:rPr>
                <w:sz w:val="16"/>
                <w:szCs w:val="16"/>
              </w:rPr>
              <w:t>Дейности по отглеждане и превенция срещу дивеч, пасящи животни, вредители и болести, за да се осигурят дългосрочни резултати и да се избегне проваляне на залесяването и др.</w:t>
            </w:r>
          </w:p>
        </w:tc>
        <w:tc>
          <w:tcPr>
            <w:tcW w:w="636" w:type="pct"/>
            <w:vAlign w:val="center"/>
          </w:tcPr>
          <w:p w:rsidR="001D05E8" w:rsidRPr="001D05E8" w:rsidRDefault="001D05E8" w:rsidP="001D05E8">
            <w:pPr>
              <w:ind w:left="-112" w:right="-108"/>
              <w:rPr>
                <w:sz w:val="16"/>
                <w:szCs w:val="16"/>
              </w:rPr>
            </w:pPr>
            <w:r w:rsidRPr="001D05E8">
              <w:rPr>
                <w:sz w:val="16"/>
                <w:szCs w:val="16"/>
              </w:rPr>
              <w:t>Почвоподготовка;</w:t>
            </w:r>
          </w:p>
          <w:p w:rsidR="001D05E8" w:rsidRPr="001D05E8" w:rsidRDefault="001D05E8" w:rsidP="001D05E8">
            <w:pPr>
              <w:ind w:left="-112" w:right="-108"/>
              <w:rPr>
                <w:sz w:val="16"/>
                <w:szCs w:val="16"/>
              </w:rPr>
            </w:pPr>
            <w:r w:rsidRPr="001D05E8">
              <w:rPr>
                <w:sz w:val="16"/>
                <w:szCs w:val="16"/>
              </w:rPr>
              <w:t>Закупуване на залесителен материал;</w:t>
            </w:r>
          </w:p>
          <w:p w:rsidR="001D05E8" w:rsidRPr="001D05E8" w:rsidRDefault="001D05E8" w:rsidP="001D05E8">
            <w:pPr>
              <w:ind w:left="-112" w:right="-108"/>
              <w:rPr>
                <w:sz w:val="16"/>
                <w:szCs w:val="16"/>
              </w:rPr>
            </w:pPr>
            <w:r w:rsidRPr="001D05E8">
              <w:rPr>
                <w:sz w:val="16"/>
                <w:szCs w:val="16"/>
              </w:rPr>
              <w:t>Транспорт и временно съхранение на залесителния материал;</w:t>
            </w:r>
          </w:p>
          <w:p w:rsidR="001D05E8" w:rsidRPr="001D05E8" w:rsidRDefault="001D05E8" w:rsidP="001D05E8">
            <w:pPr>
              <w:ind w:left="-112" w:right="-108"/>
              <w:rPr>
                <w:sz w:val="16"/>
                <w:szCs w:val="16"/>
              </w:rPr>
            </w:pPr>
            <w:r w:rsidRPr="001D05E8">
              <w:rPr>
                <w:sz w:val="16"/>
                <w:szCs w:val="16"/>
              </w:rPr>
              <w:t>Разходи за труд при залесяване;</w:t>
            </w:r>
          </w:p>
          <w:p w:rsidR="001D05E8" w:rsidRPr="001D05E8" w:rsidRDefault="001D05E8" w:rsidP="001D05E8">
            <w:pPr>
              <w:ind w:left="-112" w:right="-108"/>
              <w:rPr>
                <w:sz w:val="16"/>
                <w:szCs w:val="16"/>
              </w:rPr>
            </w:pPr>
            <w:r w:rsidRPr="001D05E8">
              <w:rPr>
                <w:sz w:val="16"/>
                <w:szCs w:val="16"/>
              </w:rPr>
              <w:t xml:space="preserve">Третиране на фиданките </w:t>
            </w:r>
          </w:p>
          <w:p w:rsidR="001D05E8" w:rsidRPr="001D05E8" w:rsidRDefault="001D05E8" w:rsidP="001D05E8">
            <w:pPr>
              <w:ind w:left="-112" w:right="-108"/>
              <w:rPr>
                <w:sz w:val="16"/>
                <w:szCs w:val="16"/>
              </w:rPr>
            </w:pPr>
            <w:r w:rsidRPr="001D05E8">
              <w:rPr>
                <w:sz w:val="16"/>
                <w:szCs w:val="16"/>
              </w:rPr>
              <w:t>Ограждане на залесената територия;</w:t>
            </w:r>
          </w:p>
          <w:p w:rsidR="001D05E8" w:rsidRPr="001D05E8" w:rsidRDefault="001D05E8" w:rsidP="001D05E8">
            <w:pPr>
              <w:ind w:left="-112" w:right="-108"/>
              <w:rPr>
                <w:sz w:val="16"/>
                <w:szCs w:val="16"/>
              </w:rPr>
            </w:pPr>
            <w:r w:rsidRPr="001D05E8">
              <w:rPr>
                <w:sz w:val="16"/>
                <w:szCs w:val="16"/>
              </w:rPr>
              <w:t xml:space="preserve">Попълване </w:t>
            </w:r>
          </w:p>
          <w:p w:rsidR="001D05E8" w:rsidRPr="001D05E8" w:rsidRDefault="001D05E8" w:rsidP="001D05E8">
            <w:pPr>
              <w:ind w:left="-112" w:right="-108"/>
              <w:rPr>
                <w:sz w:val="16"/>
                <w:szCs w:val="16"/>
              </w:rPr>
            </w:pPr>
            <w:r w:rsidRPr="001D05E8">
              <w:rPr>
                <w:sz w:val="16"/>
                <w:szCs w:val="16"/>
              </w:rPr>
              <w:t>Годишна премия за хектар;</w:t>
            </w:r>
          </w:p>
          <w:p w:rsidR="001D05E8" w:rsidRPr="001D05E8" w:rsidRDefault="001D05E8" w:rsidP="001D05E8">
            <w:pPr>
              <w:ind w:left="-112" w:right="-108"/>
              <w:rPr>
                <w:sz w:val="16"/>
                <w:szCs w:val="16"/>
              </w:rPr>
            </w:pPr>
            <w:r w:rsidRPr="001D05E8">
              <w:rPr>
                <w:sz w:val="16"/>
                <w:szCs w:val="16"/>
              </w:rPr>
              <w:t>Превантивни действия срещу дивеч, пасящи животни, вредители и болести;</w:t>
            </w:r>
          </w:p>
          <w:p w:rsidR="001D05E8" w:rsidRPr="001D05E8" w:rsidRDefault="001D05E8" w:rsidP="001D05E8">
            <w:pPr>
              <w:ind w:left="-112" w:right="-108"/>
              <w:rPr>
                <w:sz w:val="16"/>
                <w:szCs w:val="16"/>
              </w:rPr>
            </w:pPr>
            <w:r w:rsidRPr="001D05E8">
              <w:rPr>
                <w:sz w:val="16"/>
                <w:szCs w:val="16"/>
              </w:rPr>
              <w:lastRenderedPageBreak/>
              <w:t>Разходи за закупуване на земя, когато са пряко свързани с изпълнението на проекта и не</w:t>
            </w:r>
            <w:r w:rsidR="00DE4509">
              <w:rPr>
                <w:sz w:val="16"/>
                <w:szCs w:val="16"/>
              </w:rPr>
              <w:t xml:space="preserve"> </w:t>
            </w:r>
            <w:r w:rsidRPr="001D05E8">
              <w:rPr>
                <w:sz w:val="16"/>
                <w:szCs w:val="16"/>
              </w:rPr>
              <w:t>надхвърлят 10 % от общите допустими разходи по проект.</w:t>
            </w:r>
          </w:p>
          <w:p w:rsidR="001D05E8" w:rsidRPr="001D05E8" w:rsidRDefault="001D05E8" w:rsidP="001D05E8">
            <w:pPr>
              <w:ind w:left="-112" w:right="-108"/>
              <w:rPr>
                <w:sz w:val="16"/>
                <w:szCs w:val="16"/>
              </w:rPr>
            </w:pPr>
            <w:r w:rsidRPr="001D05E8">
              <w:rPr>
                <w:sz w:val="16"/>
                <w:szCs w:val="16"/>
              </w:rPr>
              <w:t>Общи разходи, свързани с подготовка и изпълнение на проектното предложение.</w:t>
            </w:r>
          </w:p>
        </w:tc>
        <w:tc>
          <w:tcPr>
            <w:tcW w:w="254" w:type="pct"/>
            <w:vAlign w:val="center"/>
          </w:tcPr>
          <w:p w:rsidR="001D05E8" w:rsidRPr="001D05E8" w:rsidRDefault="001D05E8" w:rsidP="001D05E8">
            <w:pPr>
              <w:ind w:left="-112" w:right="-108"/>
              <w:jc w:val="center"/>
              <w:rPr>
                <w:sz w:val="16"/>
                <w:szCs w:val="16"/>
              </w:rPr>
            </w:pPr>
            <w:r w:rsidRPr="001D05E8">
              <w:rPr>
                <w:sz w:val="16"/>
                <w:szCs w:val="16"/>
              </w:rPr>
              <w:lastRenderedPageBreak/>
              <w:t>До 100%</w:t>
            </w:r>
          </w:p>
        </w:tc>
        <w:tc>
          <w:tcPr>
            <w:tcW w:w="212" w:type="pct"/>
            <w:vAlign w:val="center"/>
          </w:tcPr>
          <w:p w:rsidR="001D05E8" w:rsidRPr="001D05E8" w:rsidRDefault="001D05E8" w:rsidP="001D05E8">
            <w:pPr>
              <w:ind w:left="-112" w:right="-108"/>
              <w:jc w:val="center"/>
              <w:rPr>
                <w:sz w:val="16"/>
                <w:szCs w:val="16"/>
              </w:rPr>
            </w:pPr>
            <w:r w:rsidRPr="001D05E8">
              <w:rPr>
                <w:sz w:val="16"/>
                <w:szCs w:val="16"/>
              </w:rPr>
              <w:t>Юли</w:t>
            </w:r>
          </w:p>
          <w:p w:rsidR="001D05E8" w:rsidRPr="001D05E8" w:rsidRDefault="001D05E8" w:rsidP="001D05E8">
            <w:pPr>
              <w:ind w:left="-112" w:right="-108"/>
              <w:jc w:val="center"/>
              <w:rPr>
                <w:sz w:val="16"/>
                <w:szCs w:val="16"/>
              </w:rPr>
            </w:pPr>
            <w:r w:rsidRPr="001D05E8">
              <w:rPr>
                <w:sz w:val="16"/>
                <w:szCs w:val="16"/>
              </w:rPr>
              <w:t xml:space="preserve"> 2020 г.</w:t>
            </w:r>
          </w:p>
        </w:tc>
        <w:tc>
          <w:tcPr>
            <w:tcW w:w="230" w:type="pct"/>
            <w:vAlign w:val="center"/>
          </w:tcPr>
          <w:p w:rsidR="001D05E8" w:rsidRPr="001D05E8" w:rsidRDefault="001D05E8" w:rsidP="001D05E8">
            <w:pPr>
              <w:ind w:left="-112" w:right="-108"/>
              <w:jc w:val="center"/>
              <w:rPr>
                <w:sz w:val="16"/>
                <w:szCs w:val="16"/>
              </w:rPr>
            </w:pPr>
            <w:r w:rsidRPr="001D05E8">
              <w:rPr>
                <w:sz w:val="16"/>
                <w:szCs w:val="16"/>
              </w:rPr>
              <w:t>Септември</w:t>
            </w:r>
          </w:p>
          <w:p w:rsidR="001D05E8" w:rsidRPr="001D05E8" w:rsidRDefault="001D05E8" w:rsidP="001D05E8">
            <w:pPr>
              <w:ind w:left="-112" w:right="-108"/>
              <w:jc w:val="center"/>
              <w:rPr>
                <w:sz w:val="16"/>
                <w:szCs w:val="16"/>
              </w:rPr>
            </w:pPr>
            <w:r w:rsidRPr="001D05E8">
              <w:rPr>
                <w:sz w:val="16"/>
                <w:szCs w:val="16"/>
              </w:rPr>
              <w:t xml:space="preserve"> 2020 г.</w:t>
            </w:r>
          </w:p>
        </w:tc>
        <w:tc>
          <w:tcPr>
            <w:tcW w:w="242" w:type="pct"/>
            <w:vAlign w:val="center"/>
          </w:tcPr>
          <w:p w:rsidR="001D05E8" w:rsidRPr="001D05E8" w:rsidRDefault="001D05E8" w:rsidP="001D05E8">
            <w:pPr>
              <w:ind w:left="-108" w:right="-85"/>
              <w:jc w:val="center"/>
              <w:rPr>
                <w:sz w:val="16"/>
                <w:szCs w:val="16"/>
              </w:rPr>
            </w:pPr>
            <w:r w:rsidRPr="001D05E8">
              <w:rPr>
                <w:sz w:val="16"/>
                <w:szCs w:val="16"/>
              </w:rPr>
              <w:t>Да</w:t>
            </w:r>
          </w:p>
        </w:tc>
        <w:tc>
          <w:tcPr>
            <w:tcW w:w="243"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vAlign w:val="center"/>
          </w:tcPr>
          <w:p w:rsidR="001D05E8" w:rsidRPr="001D05E8" w:rsidRDefault="001D05E8" w:rsidP="001D05E8">
            <w:pPr>
              <w:ind w:left="-108" w:right="-85"/>
              <w:jc w:val="center"/>
              <w:rPr>
                <w:sz w:val="16"/>
                <w:szCs w:val="16"/>
              </w:rPr>
            </w:pPr>
            <w:r w:rsidRPr="001D05E8">
              <w:rPr>
                <w:sz w:val="16"/>
                <w:szCs w:val="16"/>
              </w:rPr>
              <w:t>Левовата равностойност на 2 500 евро</w:t>
            </w:r>
          </w:p>
        </w:tc>
        <w:tc>
          <w:tcPr>
            <w:tcW w:w="297" w:type="pct"/>
            <w:vAlign w:val="center"/>
          </w:tcPr>
          <w:p w:rsidR="001D05E8" w:rsidRPr="001D05E8" w:rsidRDefault="001D05E8" w:rsidP="001D05E8">
            <w:pPr>
              <w:ind w:left="-108" w:right="-85"/>
              <w:jc w:val="center"/>
              <w:rPr>
                <w:sz w:val="16"/>
                <w:szCs w:val="16"/>
              </w:rPr>
            </w:pPr>
            <w:r w:rsidRPr="001D05E8">
              <w:rPr>
                <w:sz w:val="16"/>
                <w:szCs w:val="16"/>
              </w:rPr>
              <w:t xml:space="preserve">Левовата равностойност на </w:t>
            </w:r>
          </w:p>
          <w:p w:rsidR="001D05E8" w:rsidRPr="001D05E8" w:rsidRDefault="001D05E8" w:rsidP="001D05E8">
            <w:pPr>
              <w:ind w:left="-108" w:right="-85"/>
              <w:jc w:val="center"/>
              <w:rPr>
                <w:sz w:val="16"/>
                <w:szCs w:val="16"/>
              </w:rPr>
            </w:pPr>
            <w:r w:rsidRPr="001D05E8">
              <w:rPr>
                <w:sz w:val="16"/>
                <w:szCs w:val="16"/>
              </w:rPr>
              <w:t>300 000</w:t>
            </w:r>
          </w:p>
          <w:p w:rsidR="001D05E8" w:rsidRPr="001D05E8" w:rsidRDefault="001D05E8" w:rsidP="001D05E8">
            <w:pPr>
              <w:ind w:left="-108" w:right="-85"/>
              <w:jc w:val="center"/>
              <w:rPr>
                <w:sz w:val="16"/>
                <w:szCs w:val="16"/>
              </w:rPr>
            </w:pPr>
            <w:r w:rsidRPr="001D05E8">
              <w:rPr>
                <w:sz w:val="16"/>
                <w:szCs w:val="16"/>
              </w:rPr>
              <w:t>евро</w:t>
            </w:r>
          </w:p>
        </w:tc>
      </w:tr>
      <w:tr w:rsidR="00C23F62" w:rsidRPr="001D05E8" w:rsidTr="00D66DDD">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108"/>
              <w:jc w:val="center"/>
              <w:rPr>
                <w:sz w:val="16"/>
                <w:szCs w:val="16"/>
                <w:lang w:val="en-US"/>
              </w:rPr>
            </w:pPr>
            <w:r w:rsidRPr="001D05E8">
              <w:rPr>
                <w:sz w:val="16"/>
                <w:szCs w:val="16"/>
                <w:lang w:val="en-US"/>
              </w:rPr>
              <w:lastRenderedPageBreak/>
              <w:t>14.</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Подмярка 16.1 „Подкрепа за сформиране и функциониране на оперативни групи в рамките на ЕПИ“</w:t>
            </w:r>
          </w:p>
        </w:tc>
        <w:tc>
          <w:tcPr>
            <w:tcW w:w="33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Подкрепата  е насочена към функциониране на оперативни групи,</w:t>
            </w:r>
          </w:p>
          <w:p w:rsidR="001D05E8" w:rsidRPr="001D05E8" w:rsidRDefault="001D05E8" w:rsidP="001D05E8">
            <w:pPr>
              <w:ind w:left="-112" w:right="-88"/>
              <w:jc w:val="center"/>
              <w:rPr>
                <w:sz w:val="16"/>
                <w:szCs w:val="16"/>
              </w:rPr>
            </w:pPr>
            <w:r w:rsidRPr="001D05E8">
              <w:rPr>
                <w:sz w:val="16"/>
                <w:szCs w:val="16"/>
              </w:rPr>
              <w:t>създадени за изпълнение на конкретен иновативен проект за постигане на целите на</w:t>
            </w:r>
          </w:p>
          <w:p w:rsidR="001D05E8" w:rsidRPr="001D05E8" w:rsidRDefault="001D05E8" w:rsidP="001D05E8">
            <w:pPr>
              <w:ind w:left="-112" w:right="-88"/>
              <w:jc w:val="center"/>
              <w:rPr>
                <w:sz w:val="16"/>
                <w:szCs w:val="16"/>
              </w:rPr>
            </w:pPr>
            <w:r w:rsidRPr="001D05E8">
              <w:rPr>
                <w:sz w:val="16"/>
                <w:szCs w:val="16"/>
              </w:rPr>
              <w:t>Европейското партньорство за иновации (ЕПИ) за селскостопанска производителност</w:t>
            </w:r>
          </w:p>
          <w:p w:rsidR="001D05E8" w:rsidRPr="001D05E8" w:rsidRDefault="001D05E8" w:rsidP="001D05E8">
            <w:pPr>
              <w:ind w:left="-112" w:right="-88"/>
              <w:jc w:val="center"/>
              <w:rPr>
                <w:sz w:val="16"/>
                <w:szCs w:val="16"/>
              </w:rPr>
            </w:pPr>
            <w:r w:rsidRPr="001D05E8">
              <w:rPr>
                <w:sz w:val="16"/>
                <w:szCs w:val="16"/>
              </w:rPr>
              <w:t>и устойчивост</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Подбор на проектни предложения</w:t>
            </w:r>
          </w:p>
        </w:tc>
        <w:tc>
          <w:tcPr>
            <w:tcW w:w="20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Не</w:t>
            </w:r>
          </w:p>
        </w:tc>
        <w:tc>
          <w:tcPr>
            <w:tcW w:w="338" w:type="pct"/>
            <w:tcBorders>
              <w:top w:val="single" w:sz="4" w:space="0" w:color="auto"/>
              <w:left w:val="single" w:sz="4" w:space="0" w:color="auto"/>
              <w:bottom w:val="single" w:sz="4" w:space="0" w:color="auto"/>
              <w:right w:val="single" w:sz="4" w:space="0" w:color="auto"/>
            </w:tcBorders>
            <w:vAlign w:val="center"/>
          </w:tcPr>
          <w:p w:rsidR="001D05E8" w:rsidRPr="00194641" w:rsidRDefault="001D05E8" w:rsidP="001D05E8">
            <w:pPr>
              <w:ind w:left="-112" w:right="-88"/>
              <w:jc w:val="center"/>
              <w:rPr>
                <w:sz w:val="16"/>
                <w:szCs w:val="16"/>
              </w:rPr>
            </w:pPr>
            <w:r w:rsidRPr="001D05E8">
              <w:rPr>
                <w:sz w:val="16"/>
                <w:szCs w:val="16"/>
              </w:rPr>
              <w:t xml:space="preserve">До левовата равностойност на </w:t>
            </w:r>
            <w:r w:rsidRPr="00194641">
              <w:rPr>
                <w:sz w:val="16"/>
                <w:szCs w:val="16"/>
              </w:rPr>
              <w:t>1</w:t>
            </w:r>
            <w:r w:rsidRPr="001D05E8">
              <w:rPr>
                <w:sz w:val="16"/>
                <w:szCs w:val="16"/>
              </w:rPr>
              <w:t xml:space="preserve">0 000 000 евро </w:t>
            </w:r>
          </w:p>
        </w:tc>
        <w:tc>
          <w:tcPr>
            <w:tcW w:w="483" w:type="pct"/>
            <w:tcBorders>
              <w:top w:val="single" w:sz="4" w:space="0" w:color="auto"/>
              <w:left w:val="single" w:sz="4" w:space="0" w:color="auto"/>
              <w:bottom w:val="single" w:sz="4" w:space="0" w:color="auto"/>
              <w:right w:val="single" w:sz="4" w:space="0" w:color="auto"/>
            </w:tcBorders>
            <w:vAlign w:val="center"/>
          </w:tcPr>
          <w:p w:rsidR="001D05E8" w:rsidRPr="00194641" w:rsidRDefault="001D05E8" w:rsidP="001D05E8">
            <w:pPr>
              <w:numPr>
                <w:ilvl w:val="0"/>
                <w:numId w:val="3"/>
              </w:numPr>
              <w:ind w:left="-135" w:right="-88"/>
              <w:contextualSpacing/>
              <w:jc w:val="center"/>
              <w:rPr>
                <w:sz w:val="16"/>
                <w:szCs w:val="16"/>
              </w:rPr>
            </w:pPr>
            <w:r w:rsidRPr="001D05E8">
              <w:rPr>
                <w:sz w:val="16"/>
                <w:szCs w:val="16"/>
              </w:rPr>
              <w:t>Оперативни групи, учредени като дружества по смисъла на чл. 357 - 364 от Закона за задълженията и договорите</w:t>
            </w:r>
            <w:r w:rsidRPr="00194641">
              <w:rPr>
                <w:sz w:val="16"/>
                <w:szCs w:val="16"/>
              </w:rPr>
              <w:t>;</w:t>
            </w:r>
          </w:p>
          <w:p w:rsidR="001D05E8" w:rsidRPr="001D05E8" w:rsidRDefault="001D05E8" w:rsidP="001D05E8">
            <w:pPr>
              <w:numPr>
                <w:ilvl w:val="0"/>
                <w:numId w:val="3"/>
              </w:numPr>
              <w:ind w:left="-135" w:right="-88"/>
              <w:contextualSpacing/>
              <w:jc w:val="center"/>
              <w:rPr>
                <w:sz w:val="16"/>
                <w:szCs w:val="16"/>
                <w:lang w:val="en-US"/>
              </w:rPr>
            </w:pPr>
            <w:r w:rsidRPr="001D05E8">
              <w:rPr>
                <w:sz w:val="16"/>
                <w:szCs w:val="16"/>
                <w:lang w:val="en-US"/>
              </w:rPr>
              <w:t>НДНИВМИ;</w:t>
            </w:r>
          </w:p>
          <w:p w:rsidR="001D05E8" w:rsidRPr="001D05E8" w:rsidRDefault="001D05E8" w:rsidP="001D05E8">
            <w:pPr>
              <w:numPr>
                <w:ilvl w:val="0"/>
                <w:numId w:val="3"/>
              </w:numPr>
              <w:ind w:left="-135" w:right="-88"/>
              <w:contextualSpacing/>
              <w:jc w:val="center"/>
              <w:rPr>
                <w:sz w:val="16"/>
                <w:szCs w:val="16"/>
              </w:rPr>
            </w:pPr>
            <w:r w:rsidRPr="001D05E8">
              <w:rPr>
                <w:sz w:val="16"/>
                <w:szCs w:val="16"/>
              </w:rPr>
              <w:t>Физически или юридически лица, производители на ветеринарно медицински продукти регистрирани по Търговския закон и получили лиценз за производство, издаден от изпълнителния директор на БАБХ</w:t>
            </w:r>
          </w:p>
        </w:tc>
        <w:tc>
          <w:tcPr>
            <w:tcW w:w="45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Дейности за функциониране на оперативната група, както следва:</w:t>
            </w:r>
          </w:p>
          <w:p w:rsidR="001D05E8" w:rsidRPr="001D05E8" w:rsidRDefault="001D05E8" w:rsidP="001D05E8">
            <w:pPr>
              <w:ind w:left="-112" w:right="-88"/>
              <w:jc w:val="center"/>
              <w:rPr>
                <w:sz w:val="16"/>
                <w:szCs w:val="16"/>
              </w:rPr>
            </w:pPr>
            <w:r w:rsidRPr="001D05E8">
              <w:rPr>
                <w:sz w:val="16"/>
                <w:szCs w:val="16"/>
              </w:rPr>
              <w:t>а) Осъществяване на сътрудничеството във връзка с изпълнение на иновативния проект;</w:t>
            </w:r>
          </w:p>
          <w:p w:rsidR="001D05E8" w:rsidRPr="001D05E8" w:rsidRDefault="001D05E8" w:rsidP="001D05E8">
            <w:pPr>
              <w:ind w:left="-112" w:right="-88"/>
              <w:jc w:val="center"/>
              <w:rPr>
                <w:sz w:val="16"/>
                <w:szCs w:val="16"/>
              </w:rPr>
            </w:pPr>
            <w:r w:rsidRPr="001D05E8">
              <w:rPr>
                <w:sz w:val="16"/>
                <w:szCs w:val="16"/>
              </w:rPr>
              <w:t>б) Преки дейности за изпълнение на иновативния проект.</w:t>
            </w:r>
          </w:p>
        </w:tc>
        <w:tc>
          <w:tcPr>
            <w:tcW w:w="636"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Текущи разходи за осъществяване на сътрудничеството във връзка с изпълнение на иновативния проект и преки разходи за изпълнение на иновативния проект</w:t>
            </w:r>
          </w:p>
          <w:p w:rsidR="001D05E8" w:rsidRPr="001D05E8" w:rsidRDefault="001D05E8" w:rsidP="001D05E8">
            <w:pPr>
              <w:ind w:left="-112" w:right="-88"/>
              <w:jc w:val="center"/>
              <w:rPr>
                <w:sz w:val="16"/>
                <w:szCs w:val="16"/>
              </w:rPr>
            </w:pPr>
          </w:p>
        </w:tc>
        <w:tc>
          <w:tcPr>
            <w:tcW w:w="254"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100%</w:t>
            </w:r>
          </w:p>
        </w:tc>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rPr>
                <w:sz w:val="16"/>
                <w:szCs w:val="16"/>
              </w:rPr>
            </w:pPr>
            <w:r w:rsidRPr="001D05E8">
              <w:rPr>
                <w:sz w:val="16"/>
                <w:szCs w:val="16"/>
              </w:rPr>
              <w:t>Октомври 2020 г.</w:t>
            </w:r>
          </w:p>
        </w:tc>
        <w:tc>
          <w:tcPr>
            <w:tcW w:w="230" w:type="pct"/>
            <w:tcBorders>
              <w:top w:val="single" w:sz="4" w:space="0" w:color="auto"/>
              <w:left w:val="single" w:sz="4" w:space="0" w:color="auto"/>
              <w:bottom w:val="single" w:sz="4" w:space="0" w:color="auto"/>
              <w:right w:val="single" w:sz="4" w:space="0" w:color="auto"/>
            </w:tcBorders>
            <w:vAlign w:val="center"/>
          </w:tcPr>
          <w:p w:rsidR="001D05E8" w:rsidRPr="001D05E8" w:rsidRDefault="00995AD9" w:rsidP="00995AD9">
            <w:pPr>
              <w:ind w:left="-112" w:right="-88"/>
              <w:jc w:val="center"/>
              <w:rPr>
                <w:sz w:val="16"/>
                <w:szCs w:val="16"/>
              </w:rPr>
            </w:pPr>
            <w:r>
              <w:rPr>
                <w:sz w:val="16"/>
                <w:szCs w:val="16"/>
              </w:rPr>
              <w:t>Януари</w:t>
            </w:r>
            <w:r w:rsidRPr="001D05E8">
              <w:rPr>
                <w:sz w:val="16"/>
                <w:szCs w:val="16"/>
              </w:rPr>
              <w:t xml:space="preserve"> </w:t>
            </w:r>
            <w:r w:rsidR="001D05E8" w:rsidRPr="001D05E8">
              <w:rPr>
                <w:sz w:val="16"/>
                <w:szCs w:val="16"/>
              </w:rPr>
              <w:t>202</w:t>
            </w:r>
            <w:r>
              <w:rPr>
                <w:sz w:val="16"/>
                <w:szCs w:val="16"/>
              </w:rPr>
              <w:t>1</w:t>
            </w:r>
            <w:r w:rsidR="001D05E8" w:rsidRPr="001D05E8">
              <w:rPr>
                <w:sz w:val="16"/>
                <w:szCs w:val="16"/>
              </w:rPr>
              <w:t xml:space="preserve"> г.</w:t>
            </w:r>
          </w:p>
        </w:tc>
        <w:tc>
          <w:tcPr>
            <w:tcW w:w="24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 xml:space="preserve">Не </w:t>
            </w:r>
          </w:p>
        </w:tc>
        <w:tc>
          <w:tcPr>
            <w:tcW w:w="24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Не</w:t>
            </w:r>
          </w:p>
          <w:p w:rsidR="001D05E8" w:rsidRPr="001D05E8" w:rsidRDefault="001D05E8" w:rsidP="001D05E8">
            <w:pPr>
              <w:ind w:left="-112" w:right="-88"/>
              <w:jc w:val="center"/>
              <w:rPr>
                <w:sz w:val="16"/>
                <w:szCs w:val="16"/>
              </w:rPr>
            </w:pPr>
          </w:p>
        </w:tc>
        <w:tc>
          <w:tcPr>
            <w:tcW w:w="25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Непр.</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88"/>
              <w:jc w:val="center"/>
              <w:rPr>
                <w:sz w:val="16"/>
                <w:szCs w:val="16"/>
              </w:rPr>
            </w:pPr>
            <w:r w:rsidRPr="001D05E8">
              <w:rPr>
                <w:sz w:val="16"/>
                <w:szCs w:val="16"/>
              </w:rPr>
              <w:t>За оперативни групи с участието на НДНИВМИ максималният размер на общите допустими разходи за един проект по процедурата е левовата равностойност на 2 000 000 евро, а за всички останали – левовата  равностойност на 450 000 евро</w:t>
            </w:r>
          </w:p>
        </w:tc>
      </w:tr>
      <w:tr w:rsidR="00C23F62" w:rsidRPr="001D05E8" w:rsidTr="00D66DDD">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108"/>
              <w:jc w:val="center"/>
              <w:rPr>
                <w:sz w:val="16"/>
                <w:szCs w:val="16"/>
              </w:rPr>
            </w:pPr>
            <w:r w:rsidRPr="001D05E8">
              <w:rPr>
                <w:sz w:val="16"/>
                <w:szCs w:val="16"/>
                <w:lang w:val="en-US"/>
              </w:rPr>
              <w:t>15</w:t>
            </w:r>
            <w:r w:rsidRPr="001D05E8">
              <w:rPr>
                <w:sz w:val="16"/>
                <w:szCs w:val="16"/>
              </w:rPr>
              <w:t>.</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Подмярка 16.4 „Подкрепа за хоризонтално и вертикално сътрудничество между участниците във веригата </w:t>
            </w:r>
            <w:r w:rsidRPr="001D05E8">
              <w:rPr>
                <w:sz w:val="16"/>
                <w:szCs w:val="16"/>
              </w:rPr>
              <w:lastRenderedPageBreak/>
              <w:t>на доставки“</w:t>
            </w:r>
          </w:p>
        </w:tc>
        <w:tc>
          <w:tcPr>
            <w:tcW w:w="33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lastRenderedPageBreak/>
              <w:t xml:space="preserve">Подкрепата се предоставя за създаване и развитие на къси вериги на доставки и за създаване и развитие на местни пазари, </w:t>
            </w:r>
            <w:r w:rsidRPr="001D05E8">
              <w:rPr>
                <w:sz w:val="16"/>
                <w:szCs w:val="16"/>
              </w:rPr>
              <w:lastRenderedPageBreak/>
              <w:t>съгласно определенията в подмярката. Подпомагането обхваща само къси вериги на доставки, които включват не повече от един посредник между земеделския стопанин и потребителя.</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lastRenderedPageBreak/>
              <w:t xml:space="preserve">Подбор на проектни предложения. Подборът на проекти може да се извършва за една или две фази на </w:t>
            </w:r>
            <w:r w:rsidRPr="001D05E8">
              <w:rPr>
                <w:sz w:val="16"/>
                <w:szCs w:val="16"/>
              </w:rPr>
              <w:lastRenderedPageBreak/>
              <w:t>изпълнение.</w:t>
            </w:r>
          </w:p>
        </w:tc>
        <w:tc>
          <w:tcPr>
            <w:tcW w:w="20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lastRenderedPageBreak/>
              <w:t>Не</w:t>
            </w:r>
          </w:p>
        </w:tc>
        <w:tc>
          <w:tcPr>
            <w:tcW w:w="33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8 000 000 евро за втора фаза.</w:t>
            </w:r>
          </w:p>
        </w:tc>
        <w:tc>
          <w:tcPr>
            <w:tcW w:w="48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Организации, съставени от земеделски стопани, МСП или търговци на дребно, които извършват своите дейности в обхвата на конкретна къса верига на доставки или в </w:t>
            </w:r>
            <w:r w:rsidRPr="001D05E8">
              <w:rPr>
                <w:sz w:val="16"/>
                <w:szCs w:val="16"/>
              </w:rPr>
              <w:lastRenderedPageBreak/>
              <w:t>обхвата на конкретен местен пазар.</w:t>
            </w:r>
          </w:p>
          <w:p w:rsidR="001D05E8" w:rsidRPr="001D05E8" w:rsidRDefault="001D05E8" w:rsidP="001D05E8">
            <w:pPr>
              <w:ind w:left="-112" w:right="-108"/>
              <w:jc w:val="center"/>
              <w:rPr>
                <w:sz w:val="16"/>
                <w:szCs w:val="16"/>
              </w:rPr>
            </w:pPr>
            <w:r w:rsidRPr="001D05E8">
              <w:rPr>
                <w:sz w:val="16"/>
                <w:szCs w:val="16"/>
              </w:rPr>
              <w:t>Организациите могат да бъдат юридически лица по Търговския закон или обединения по Закона за задълженията и договорите</w:t>
            </w:r>
          </w:p>
        </w:tc>
        <w:tc>
          <w:tcPr>
            <w:tcW w:w="45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lastRenderedPageBreak/>
              <w:t>Предоставя се помощ и за дейности за популяризиране на къси вериги на доставки и на местни пазари.</w:t>
            </w:r>
          </w:p>
        </w:tc>
        <w:tc>
          <w:tcPr>
            <w:tcW w:w="636"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rPr>
                <w:sz w:val="16"/>
                <w:szCs w:val="16"/>
              </w:rPr>
            </w:pPr>
            <w:r w:rsidRPr="001D05E8">
              <w:rPr>
                <w:sz w:val="16"/>
                <w:szCs w:val="16"/>
              </w:rPr>
              <w:t>Текущи разходи във връзка със сътрудничеството;</w:t>
            </w:r>
          </w:p>
          <w:p w:rsidR="001D05E8" w:rsidRPr="001D05E8" w:rsidRDefault="001D05E8" w:rsidP="001D05E8">
            <w:pPr>
              <w:ind w:left="-112" w:right="-108"/>
              <w:rPr>
                <w:sz w:val="16"/>
                <w:szCs w:val="16"/>
              </w:rPr>
            </w:pPr>
            <w:r w:rsidRPr="001D05E8">
              <w:rPr>
                <w:sz w:val="16"/>
                <w:szCs w:val="16"/>
              </w:rPr>
              <w:t>Разходи за популяризиране;</w:t>
            </w:r>
          </w:p>
          <w:p w:rsidR="001D05E8" w:rsidRPr="001D05E8" w:rsidRDefault="001D05E8" w:rsidP="001D05E8">
            <w:pPr>
              <w:ind w:left="-112" w:right="-108"/>
              <w:rPr>
                <w:sz w:val="16"/>
                <w:szCs w:val="16"/>
              </w:rPr>
            </w:pPr>
            <w:r w:rsidRPr="001D05E8">
              <w:rPr>
                <w:sz w:val="16"/>
                <w:szCs w:val="16"/>
              </w:rPr>
              <w:t>Преки разходи за изпълнение на проект за сътрудничество, включително разходи за инвестиции.</w:t>
            </w:r>
          </w:p>
        </w:tc>
        <w:tc>
          <w:tcPr>
            <w:tcW w:w="254"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50</w:t>
            </w:r>
            <w:r w:rsidR="00995AD9">
              <w:rPr>
                <w:sz w:val="16"/>
                <w:szCs w:val="16"/>
              </w:rPr>
              <w:t xml:space="preserve"> </w:t>
            </w:r>
            <w:r w:rsidRPr="001D05E8">
              <w:rPr>
                <w:sz w:val="16"/>
                <w:szCs w:val="16"/>
              </w:rPr>
              <w:t>%</w:t>
            </w:r>
          </w:p>
        </w:tc>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Юли</w:t>
            </w:r>
          </w:p>
          <w:p w:rsidR="001D05E8" w:rsidRPr="001D05E8" w:rsidRDefault="001D05E8" w:rsidP="001D05E8">
            <w:pPr>
              <w:ind w:right="-108"/>
              <w:rPr>
                <w:sz w:val="16"/>
                <w:szCs w:val="16"/>
              </w:rPr>
            </w:pPr>
            <w:r w:rsidRPr="001D05E8">
              <w:rPr>
                <w:sz w:val="16"/>
                <w:szCs w:val="16"/>
              </w:rPr>
              <w:t>2020 г.</w:t>
            </w:r>
          </w:p>
        </w:tc>
        <w:tc>
          <w:tcPr>
            <w:tcW w:w="230"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Септември</w:t>
            </w:r>
          </w:p>
          <w:p w:rsidR="001D05E8" w:rsidRPr="001D05E8" w:rsidRDefault="001D05E8" w:rsidP="001D05E8">
            <w:pPr>
              <w:ind w:left="-112" w:right="-108"/>
              <w:jc w:val="center"/>
              <w:rPr>
                <w:sz w:val="16"/>
                <w:szCs w:val="16"/>
              </w:rPr>
            </w:pPr>
            <w:r w:rsidRPr="001D05E8">
              <w:rPr>
                <w:sz w:val="16"/>
                <w:szCs w:val="16"/>
              </w:rPr>
              <w:t>2020 г.</w:t>
            </w:r>
          </w:p>
        </w:tc>
        <w:tc>
          <w:tcPr>
            <w:tcW w:w="242" w:type="pct"/>
            <w:tcBorders>
              <w:top w:val="single" w:sz="4" w:space="0" w:color="auto"/>
              <w:left w:val="single" w:sz="4" w:space="0" w:color="auto"/>
              <w:bottom w:val="single" w:sz="4" w:space="0" w:color="auto"/>
              <w:right w:val="single" w:sz="4" w:space="0" w:color="auto"/>
            </w:tcBorders>
            <w:vAlign w:val="center"/>
          </w:tcPr>
          <w:p w:rsidR="001D05E8" w:rsidRPr="001D05E8" w:rsidRDefault="00995AD9" w:rsidP="001D05E8">
            <w:pPr>
              <w:ind w:left="-108" w:right="-85"/>
              <w:jc w:val="center"/>
              <w:rPr>
                <w:sz w:val="16"/>
                <w:szCs w:val="16"/>
              </w:rPr>
            </w:pPr>
            <w:r>
              <w:rPr>
                <w:sz w:val="16"/>
                <w:szCs w:val="16"/>
              </w:rPr>
              <w:t>Не</w:t>
            </w:r>
          </w:p>
        </w:tc>
        <w:tc>
          <w:tcPr>
            <w:tcW w:w="24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Непр.</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 xml:space="preserve">Левовата равностойност на </w:t>
            </w:r>
          </w:p>
          <w:p w:rsidR="001D05E8" w:rsidRPr="001D05E8" w:rsidRDefault="001D05E8" w:rsidP="001D05E8">
            <w:pPr>
              <w:ind w:left="-108" w:right="-85"/>
              <w:jc w:val="center"/>
              <w:rPr>
                <w:sz w:val="16"/>
                <w:szCs w:val="16"/>
              </w:rPr>
            </w:pPr>
            <w:r w:rsidRPr="001D05E8">
              <w:rPr>
                <w:sz w:val="16"/>
                <w:szCs w:val="16"/>
              </w:rPr>
              <w:t> </w:t>
            </w:r>
            <w:r w:rsidR="00995AD9">
              <w:rPr>
                <w:sz w:val="16"/>
                <w:szCs w:val="16"/>
              </w:rPr>
              <w:t>3</w:t>
            </w:r>
            <w:r w:rsidRPr="001D05E8">
              <w:rPr>
                <w:sz w:val="16"/>
                <w:szCs w:val="16"/>
              </w:rPr>
              <w:t xml:space="preserve">00 000 евро </w:t>
            </w:r>
          </w:p>
        </w:tc>
      </w:tr>
      <w:tr w:rsidR="00C23F62" w:rsidRPr="001D05E8" w:rsidTr="00D66DDD">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108"/>
              <w:jc w:val="center"/>
              <w:rPr>
                <w:sz w:val="16"/>
                <w:szCs w:val="16"/>
                <w:lang w:val="en-US"/>
              </w:rPr>
            </w:pPr>
            <w:r w:rsidRPr="001D05E8">
              <w:rPr>
                <w:sz w:val="16"/>
                <w:szCs w:val="16"/>
                <w:lang w:val="en-US"/>
              </w:rPr>
              <w:lastRenderedPageBreak/>
              <w:t>16.</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Подмярка 16.4 „Подкрепа за хоризонтално и вертикално сътрудничество между участниците във веригата на доставки“ </w:t>
            </w:r>
          </w:p>
        </w:tc>
        <w:tc>
          <w:tcPr>
            <w:tcW w:w="33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Подкрепата се предоставя за създаване и развитие на къси вериги на доставки и за създаване и развитие на местни пазари, съгласно определенията в подмярката. Подпомагането обхваща само къси вериги на доставки, които включват не повече от един посредник между земеделския стопанин и потребителя.</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Подбор на проектни предложения. Подборът на проекти може да се извършва за една или две фази на изпълнение.</w:t>
            </w:r>
          </w:p>
        </w:tc>
        <w:tc>
          <w:tcPr>
            <w:tcW w:w="20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До левовата равностойност на 7 000 000 евро за втора фаза;</w:t>
            </w:r>
          </w:p>
        </w:tc>
        <w:tc>
          <w:tcPr>
            <w:tcW w:w="48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Организации, съставени от земеделски стопани, МСП или търговци на дребно, които извършват своите дейности в обхвата на конкретна къса верига на доставки или в обхвата на конкретен местен пазар.</w:t>
            </w:r>
          </w:p>
          <w:p w:rsidR="001D05E8" w:rsidRPr="001D05E8" w:rsidRDefault="001D05E8" w:rsidP="001D05E8">
            <w:pPr>
              <w:ind w:left="-112" w:right="-108"/>
              <w:jc w:val="center"/>
              <w:rPr>
                <w:sz w:val="16"/>
                <w:szCs w:val="16"/>
              </w:rPr>
            </w:pPr>
            <w:r w:rsidRPr="001D05E8">
              <w:rPr>
                <w:sz w:val="16"/>
                <w:szCs w:val="16"/>
              </w:rPr>
              <w:t>Организациите могат да бъдат юридически лица по Търговския закон или обединения по Закона за задълженията и договорите</w:t>
            </w:r>
          </w:p>
        </w:tc>
        <w:tc>
          <w:tcPr>
            <w:tcW w:w="45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Предоставя се помощ и за дейности за популяризиране на къси вериги на доставки и на местни пазари.</w:t>
            </w:r>
          </w:p>
        </w:tc>
        <w:tc>
          <w:tcPr>
            <w:tcW w:w="636"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rPr>
                <w:sz w:val="16"/>
                <w:szCs w:val="16"/>
              </w:rPr>
            </w:pPr>
            <w:r w:rsidRPr="001D05E8">
              <w:rPr>
                <w:sz w:val="16"/>
                <w:szCs w:val="16"/>
              </w:rPr>
              <w:t>Текущи разходи във връзка със сътрудничеството;</w:t>
            </w:r>
          </w:p>
          <w:p w:rsidR="001D05E8" w:rsidRPr="001D05E8" w:rsidRDefault="001D05E8" w:rsidP="001D05E8">
            <w:pPr>
              <w:ind w:left="-112" w:right="-108"/>
              <w:rPr>
                <w:sz w:val="16"/>
                <w:szCs w:val="16"/>
              </w:rPr>
            </w:pPr>
            <w:r w:rsidRPr="001D05E8">
              <w:rPr>
                <w:sz w:val="16"/>
                <w:szCs w:val="16"/>
              </w:rPr>
              <w:t>Разходи за популяризиране;</w:t>
            </w:r>
          </w:p>
          <w:p w:rsidR="001D05E8" w:rsidRPr="001D05E8" w:rsidRDefault="001D05E8" w:rsidP="001D05E8">
            <w:pPr>
              <w:ind w:left="-112" w:right="-108"/>
              <w:rPr>
                <w:sz w:val="16"/>
                <w:szCs w:val="16"/>
              </w:rPr>
            </w:pPr>
            <w:r w:rsidRPr="001D05E8">
              <w:rPr>
                <w:sz w:val="16"/>
                <w:szCs w:val="16"/>
              </w:rPr>
              <w:t>Преки разходи за изпълнение на проект за сътрудничество, включително разходи за инвестиции.</w:t>
            </w:r>
          </w:p>
        </w:tc>
        <w:tc>
          <w:tcPr>
            <w:tcW w:w="254"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50</w:t>
            </w:r>
            <w:r w:rsidR="001058C9">
              <w:rPr>
                <w:sz w:val="16"/>
                <w:szCs w:val="16"/>
              </w:rPr>
              <w:t xml:space="preserve"> %</w:t>
            </w:r>
          </w:p>
        </w:tc>
        <w:tc>
          <w:tcPr>
            <w:tcW w:w="21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Октомври </w:t>
            </w:r>
          </w:p>
          <w:p w:rsidR="001D05E8" w:rsidRPr="001D05E8" w:rsidRDefault="001D05E8" w:rsidP="001D05E8">
            <w:pPr>
              <w:ind w:left="-112" w:right="-108"/>
              <w:jc w:val="center"/>
              <w:rPr>
                <w:sz w:val="16"/>
                <w:szCs w:val="16"/>
              </w:rPr>
            </w:pPr>
            <w:r w:rsidRPr="001D05E8">
              <w:rPr>
                <w:sz w:val="16"/>
                <w:szCs w:val="16"/>
              </w:rPr>
              <w:t>2020 г.</w:t>
            </w:r>
          </w:p>
        </w:tc>
        <w:tc>
          <w:tcPr>
            <w:tcW w:w="230"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12" w:right="-108"/>
              <w:jc w:val="center"/>
              <w:rPr>
                <w:sz w:val="16"/>
                <w:szCs w:val="16"/>
              </w:rPr>
            </w:pPr>
            <w:r w:rsidRPr="001D05E8">
              <w:rPr>
                <w:sz w:val="16"/>
                <w:szCs w:val="16"/>
              </w:rPr>
              <w:t xml:space="preserve">Ноември </w:t>
            </w:r>
          </w:p>
          <w:p w:rsidR="001D05E8" w:rsidRPr="001D05E8" w:rsidRDefault="001D05E8" w:rsidP="001D05E8">
            <w:pPr>
              <w:ind w:left="-112" w:right="-108"/>
              <w:jc w:val="center"/>
              <w:rPr>
                <w:sz w:val="16"/>
                <w:szCs w:val="16"/>
              </w:rPr>
            </w:pPr>
            <w:r w:rsidRPr="001D05E8">
              <w:rPr>
                <w:sz w:val="16"/>
                <w:szCs w:val="16"/>
              </w:rPr>
              <w:t>2020 г.</w:t>
            </w:r>
          </w:p>
        </w:tc>
        <w:tc>
          <w:tcPr>
            <w:tcW w:w="242"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tcBorders>
              <w:top w:val="single" w:sz="4" w:space="0" w:color="auto"/>
              <w:left w:val="single" w:sz="4" w:space="0" w:color="auto"/>
              <w:bottom w:val="single" w:sz="4" w:space="0" w:color="auto"/>
              <w:right w:val="single" w:sz="4" w:space="0" w:color="auto"/>
            </w:tcBorders>
            <w:vAlign w:val="center"/>
          </w:tcPr>
          <w:p w:rsidR="001D05E8" w:rsidRPr="001D05E8" w:rsidRDefault="001D05E8" w:rsidP="001D05E8">
            <w:pPr>
              <w:ind w:left="-108" w:right="-85"/>
              <w:jc w:val="center"/>
              <w:rPr>
                <w:sz w:val="16"/>
                <w:szCs w:val="16"/>
              </w:rPr>
            </w:pPr>
            <w:r w:rsidRPr="001D05E8">
              <w:rPr>
                <w:sz w:val="16"/>
                <w:szCs w:val="16"/>
              </w:rPr>
              <w:t>Непр.</w:t>
            </w:r>
          </w:p>
        </w:tc>
        <w:tc>
          <w:tcPr>
            <w:tcW w:w="297" w:type="pct"/>
            <w:tcBorders>
              <w:top w:val="single" w:sz="4" w:space="0" w:color="auto"/>
              <w:left w:val="single" w:sz="4" w:space="0" w:color="auto"/>
              <w:bottom w:val="single" w:sz="4" w:space="0" w:color="auto"/>
              <w:right w:val="single" w:sz="4" w:space="0" w:color="auto"/>
            </w:tcBorders>
            <w:vAlign w:val="center"/>
          </w:tcPr>
          <w:p w:rsidR="001D05E8" w:rsidRPr="001D05E8" w:rsidRDefault="001058C9" w:rsidP="001D05E8">
            <w:pPr>
              <w:ind w:left="-108" w:right="-85"/>
              <w:jc w:val="center"/>
              <w:rPr>
                <w:sz w:val="16"/>
                <w:szCs w:val="16"/>
              </w:rPr>
            </w:pPr>
            <w:r>
              <w:rPr>
                <w:sz w:val="16"/>
                <w:szCs w:val="16"/>
              </w:rPr>
              <w:t>Максималният размер на допустимите разходи за едно проектно предложение предстои да бъдат определени. Максимален размер на БФП за едно проектно предложение - 500 000 евро</w:t>
            </w:r>
          </w:p>
        </w:tc>
      </w:tr>
      <w:tr w:rsidR="00C23F62" w:rsidRPr="001D05E8" w:rsidTr="00D66DDD">
        <w:tc>
          <w:tcPr>
            <w:tcW w:w="212" w:type="pct"/>
            <w:vAlign w:val="center"/>
          </w:tcPr>
          <w:p w:rsidR="001D05E8" w:rsidRPr="001D05E8" w:rsidRDefault="001D05E8" w:rsidP="001D05E8">
            <w:pPr>
              <w:ind w:left="-108" w:right="-108"/>
              <w:jc w:val="center"/>
              <w:rPr>
                <w:sz w:val="16"/>
                <w:szCs w:val="16"/>
              </w:rPr>
            </w:pPr>
            <w:r w:rsidRPr="001D05E8">
              <w:rPr>
                <w:sz w:val="16"/>
                <w:szCs w:val="16"/>
              </w:rPr>
              <w:t>1</w:t>
            </w:r>
            <w:r w:rsidRPr="001D05E8">
              <w:rPr>
                <w:sz w:val="16"/>
                <w:szCs w:val="16"/>
                <w:lang w:val="en-US"/>
              </w:rPr>
              <w:t>7</w:t>
            </w:r>
            <w:r w:rsidRPr="001D05E8">
              <w:rPr>
                <w:sz w:val="16"/>
                <w:szCs w:val="16"/>
              </w:rPr>
              <w:t>.</w:t>
            </w:r>
          </w:p>
        </w:tc>
        <w:tc>
          <w:tcPr>
            <w:tcW w:w="297" w:type="pct"/>
            <w:vAlign w:val="center"/>
          </w:tcPr>
          <w:p w:rsidR="001D05E8" w:rsidRPr="001D05E8" w:rsidRDefault="001D05E8" w:rsidP="001D05E8">
            <w:pPr>
              <w:ind w:left="-112" w:right="-108"/>
              <w:jc w:val="center"/>
              <w:rPr>
                <w:sz w:val="16"/>
                <w:szCs w:val="16"/>
              </w:rPr>
            </w:pPr>
            <w:r w:rsidRPr="001D05E8">
              <w:rPr>
                <w:sz w:val="16"/>
                <w:szCs w:val="16"/>
              </w:rPr>
              <w:t xml:space="preserve">Подмярка 19.1 „Помощ за </w:t>
            </w:r>
            <w:r w:rsidRPr="001D05E8">
              <w:rPr>
                <w:sz w:val="16"/>
                <w:szCs w:val="16"/>
              </w:rPr>
              <w:lastRenderedPageBreak/>
              <w:t>подготвителни дейности“</w:t>
            </w:r>
          </w:p>
        </w:tc>
        <w:tc>
          <w:tcPr>
            <w:tcW w:w="339" w:type="pct"/>
            <w:vAlign w:val="center"/>
          </w:tcPr>
          <w:p w:rsidR="001D05E8" w:rsidRPr="001D05E8" w:rsidRDefault="001D05E8" w:rsidP="001D05E8">
            <w:pPr>
              <w:ind w:left="-112" w:right="-108"/>
              <w:jc w:val="center"/>
              <w:rPr>
                <w:sz w:val="16"/>
                <w:szCs w:val="16"/>
              </w:rPr>
            </w:pPr>
            <w:r w:rsidRPr="001D05E8">
              <w:rPr>
                <w:sz w:val="16"/>
                <w:szCs w:val="16"/>
              </w:rPr>
              <w:lastRenderedPageBreak/>
              <w:t xml:space="preserve">Подпомагане за малки  пилотни проекти на </w:t>
            </w:r>
            <w:r w:rsidRPr="001D05E8">
              <w:rPr>
                <w:sz w:val="16"/>
                <w:szCs w:val="16"/>
              </w:rPr>
              <w:lastRenderedPageBreak/>
              <w:t>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297" w:type="pct"/>
            <w:vAlign w:val="center"/>
          </w:tcPr>
          <w:p w:rsidR="001D05E8" w:rsidRPr="001D05E8" w:rsidRDefault="001D05E8" w:rsidP="001D05E8">
            <w:pPr>
              <w:ind w:left="-112" w:right="-108"/>
              <w:jc w:val="center"/>
              <w:rPr>
                <w:sz w:val="16"/>
                <w:szCs w:val="16"/>
              </w:rPr>
            </w:pPr>
            <w:r w:rsidRPr="001D05E8">
              <w:rPr>
                <w:sz w:val="16"/>
                <w:szCs w:val="16"/>
              </w:rPr>
              <w:lastRenderedPageBreak/>
              <w:t>Подбор на проектни предложения</w:t>
            </w:r>
          </w:p>
        </w:tc>
        <w:tc>
          <w:tcPr>
            <w:tcW w:w="208"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vAlign w:val="center"/>
          </w:tcPr>
          <w:p w:rsidR="001D05E8" w:rsidRPr="001D05E8" w:rsidRDefault="001D05E8" w:rsidP="001D05E8">
            <w:pPr>
              <w:ind w:left="-135" w:right="-82"/>
              <w:jc w:val="center"/>
              <w:rPr>
                <w:sz w:val="16"/>
                <w:szCs w:val="16"/>
              </w:rPr>
            </w:pPr>
            <w:r w:rsidRPr="001D05E8">
              <w:rPr>
                <w:sz w:val="16"/>
                <w:szCs w:val="16"/>
              </w:rPr>
              <w:t xml:space="preserve">До левовата равностойност на </w:t>
            </w:r>
          </w:p>
          <w:p w:rsidR="001D05E8" w:rsidRPr="001D05E8" w:rsidRDefault="001D05E8" w:rsidP="001D05E8">
            <w:pPr>
              <w:ind w:left="-135" w:right="-82"/>
              <w:jc w:val="center"/>
              <w:rPr>
                <w:sz w:val="16"/>
                <w:szCs w:val="16"/>
              </w:rPr>
            </w:pPr>
            <w:r w:rsidRPr="001D05E8">
              <w:rPr>
                <w:sz w:val="16"/>
                <w:szCs w:val="16"/>
              </w:rPr>
              <w:lastRenderedPageBreak/>
              <w:t>647 544 евро</w:t>
            </w:r>
          </w:p>
        </w:tc>
        <w:tc>
          <w:tcPr>
            <w:tcW w:w="483" w:type="pct"/>
            <w:vAlign w:val="center"/>
          </w:tcPr>
          <w:p w:rsidR="001D05E8" w:rsidRPr="001D05E8" w:rsidRDefault="001D05E8" w:rsidP="001D05E8">
            <w:pPr>
              <w:ind w:left="-112" w:right="-108"/>
              <w:jc w:val="center"/>
              <w:rPr>
                <w:sz w:val="16"/>
                <w:szCs w:val="16"/>
              </w:rPr>
            </w:pPr>
            <w:r w:rsidRPr="001D05E8">
              <w:rPr>
                <w:sz w:val="16"/>
                <w:szCs w:val="16"/>
              </w:rPr>
              <w:lastRenderedPageBreak/>
              <w:t xml:space="preserve">МИГ, преминали оценка за административно </w:t>
            </w:r>
            <w:r w:rsidRPr="001D05E8">
              <w:rPr>
                <w:sz w:val="16"/>
                <w:szCs w:val="16"/>
              </w:rPr>
              <w:lastRenderedPageBreak/>
              <w:t>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452" w:type="pct"/>
            <w:vAlign w:val="center"/>
          </w:tcPr>
          <w:p w:rsidR="001D05E8" w:rsidRPr="001D05E8" w:rsidRDefault="001D05E8" w:rsidP="001D05E8">
            <w:pPr>
              <w:ind w:left="-112" w:right="-108"/>
              <w:jc w:val="center"/>
              <w:rPr>
                <w:sz w:val="16"/>
                <w:szCs w:val="16"/>
              </w:rPr>
            </w:pPr>
            <w:r w:rsidRPr="001D05E8">
              <w:rPr>
                <w:sz w:val="16"/>
                <w:szCs w:val="16"/>
              </w:rPr>
              <w:lastRenderedPageBreak/>
              <w:t xml:space="preserve">1. Дейности и събития, свързани с популяризиране на </w:t>
            </w:r>
            <w:r w:rsidRPr="001D05E8">
              <w:rPr>
                <w:sz w:val="16"/>
                <w:szCs w:val="16"/>
              </w:rPr>
              <w:lastRenderedPageBreak/>
              <w:t>местната идентичност.</w:t>
            </w:r>
          </w:p>
          <w:p w:rsidR="001D05E8" w:rsidRPr="001D05E8" w:rsidRDefault="001D05E8" w:rsidP="001D05E8">
            <w:pPr>
              <w:ind w:left="-112" w:right="-108"/>
              <w:jc w:val="center"/>
              <w:rPr>
                <w:sz w:val="16"/>
                <w:szCs w:val="16"/>
              </w:rPr>
            </w:pPr>
          </w:p>
          <w:p w:rsidR="001D05E8" w:rsidRPr="001D05E8" w:rsidRDefault="001D05E8" w:rsidP="001D05E8">
            <w:pPr>
              <w:ind w:left="-112" w:right="-108"/>
              <w:jc w:val="center"/>
              <w:rPr>
                <w:sz w:val="16"/>
                <w:szCs w:val="16"/>
              </w:rPr>
            </w:pPr>
            <w:r w:rsidRPr="001D05E8">
              <w:rPr>
                <w:sz w:val="16"/>
                <w:szCs w:val="16"/>
              </w:rPr>
              <w:t>2. Материални и нематериални активи в интерес на местната общност.</w:t>
            </w:r>
          </w:p>
          <w:p w:rsidR="001D05E8" w:rsidRPr="001D05E8" w:rsidRDefault="001D05E8" w:rsidP="001D05E8">
            <w:pPr>
              <w:ind w:left="-112" w:right="-108"/>
              <w:jc w:val="center"/>
              <w:rPr>
                <w:sz w:val="16"/>
                <w:szCs w:val="16"/>
              </w:rPr>
            </w:pPr>
          </w:p>
          <w:p w:rsidR="001D05E8" w:rsidRPr="001D05E8" w:rsidRDefault="001D05E8" w:rsidP="001D05E8">
            <w:pPr>
              <w:ind w:left="-112" w:right="-108"/>
              <w:jc w:val="center"/>
              <w:rPr>
                <w:sz w:val="16"/>
                <w:szCs w:val="16"/>
              </w:rPr>
            </w:pPr>
            <w:r w:rsidRPr="001D05E8">
              <w:rPr>
                <w:sz w:val="16"/>
                <w:szCs w:val="16"/>
              </w:rPr>
              <w:t>3. Въвеждане на иновативни за местната общност дейности.</w:t>
            </w:r>
          </w:p>
        </w:tc>
        <w:tc>
          <w:tcPr>
            <w:tcW w:w="636" w:type="pct"/>
            <w:vAlign w:val="center"/>
          </w:tcPr>
          <w:p w:rsidR="001D05E8" w:rsidRPr="001D05E8" w:rsidRDefault="001D05E8" w:rsidP="001D05E8">
            <w:pPr>
              <w:ind w:left="-112" w:right="-108"/>
              <w:rPr>
                <w:sz w:val="16"/>
                <w:szCs w:val="16"/>
              </w:rPr>
            </w:pPr>
            <w:r w:rsidRPr="001D05E8">
              <w:rPr>
                <w:sz w:val="16"/>
                <w:szCs w:val="16"/>
              </w:rPr>
              <w:lastRenderedPageBreak/>
              <w:t>Разходи за:</w:t>
            </w:r>
          </w:p>
          <w:p w:rsidR="001D05E8" w:rsidRPr="001D05E8" w:rsidRDefault="001D05E8" w:rsidP="001D05E8">
            <w:pPr>
              <w:ind w:left="-112" w:right="-108"/>
              <w:rPr>
                <w:sz w:val="16"/>
                <w:szCs w:val="16"/>
              </w:rPr>
            </w:pPr>
            <w:r w:rsidRPr="001D05E8">
              <w:rPr>
                <w:sz w:val="16"/>
                <w:szCs w:val="16"/>
              </w:rPr>
              <w:t xml:space="preserve">1. дейности и събития, свързани с популяризиране на </w:t>
            </w:r>
            <w:r w:rsidRPr="001D05E8">
              <w:rPr>
                <w:sz w:val="16"/>
                <w:szCs w:val="16"/>
              </w:rPr>
              <w:lastRenderedPageBreak/>
              <w:t>местната идентичност, в това число за популяризиране на местни традиции, културно и историческо наследство, традиционни местни продукти и други;</w:t>
            </w:r>
          </w:p>
          <w:p w:rsidR="001D05E8" w:rsidRPr="001D05E8" w:rsidRDefault="001D05E8" w:rsidP="001D05E8">
            <w:pPr>
              <w:ind w:left="-112" w:right="-108"/>
              <w:rPr>
                <w:sz w:val="16"/>
                <w:szCs w:val="16"/>
              </w:rPr>
            </w:pPr>
            <w:r w:rsidRPr="001D05E8">
              <w:rPr>
                <w:sz w:val="16"/>
                <w:szCs w:val="16"/>
              </w:rPr>
              <w:t>2. материални и нематериални активи в интерес на местната общност;</w:t>
            </w:r>
          </w:p>
          <w:p w:rsidR="001D05E8" w:rsidRPr="001D05E8" w:rsidRDefault="001D05E8" w:rsidP="001D05E8">
            <w:pPr>
              <w:ind w:left="-112" w:right="-108"/>
              <w:rPr>
                <w:sz w:val="16"/>
                <w:szCs w:val="16"/>
              </w:rPr>
            </w:pPr>
            <w:r w:rsidRPr="001D05E8">
              <w:rPr>
                <w:sz w:val="16"/>
                <w:szCs w:val="16"/>
              </w:rPr>
              <w:t>3. въвеждане на иновативни за местната общност дейности.</w:t>
            </w:r>
          </w:p>
        </w:tc>
        <w:tc>
          <w:tcPr>
            <w:tcW w:w="254" w:type="pct"/>
            <w:vAlign w:val="center"/>
          </w:tcPr>
          <w:p w:rsidR="001D05E8" w:rsidRPr="001D05E8" w:rsidRDefault="001D05E8" w:rsidP="001D05E8">
            <w:pPr>
              <w:ind w:left="-112" w:right="-108"/>
              <w:jc w:val="center"/>
              <w:rPr>
                <w:sz w:val="16"/>
                <w:szCs w:val="16"/>
              </w:rPr>
            </w:pPr>
            <w:r w:rsidRPr="001D05E8">
              <w:rPr>
                <w:sz w:val="16"/>
                <w:szCs w:val="16"/>
              </w:rPr>
              <w:lastRenderedPageBreak/>
              <w:t>До 100%</w:t>
            </w:r>
          </w:p>
        </w:tc>
        <w:tc>
          <w:tcPr>
            <w:tcW w:w="212" w:type="pct"/>
            <w:vAlign w:val="center"/>
          </w:tcPr>
          <w:p w:rsidR="001D05E8" w:rsidRPr="001D05E8" w:rsidRDefault="001D05E8" w:rsidP="001D05E8">
            <w:pPr>
              <w:ind w:left="-112" w:right="-108"/>
              <w:jc w:val="center"/>
              <w:rPr>
                <w:sz w:val="16"/>
                <w:szCs w:val="16"/>
              </w:rPr>
            </w:pPr>
            <w:r w:rsidRPr="001D05E8">
              <w:rPr>
                <w:sz w:val="16"/>
                <w:szCs w:val="16"/>
              </w:rPr>
              <w:t>Юни</w:t>
            </w:r>
          </w:p>
          <w:p w:rsidR="001D05E8" w:rsidRPr="001D05E8" w:rsidRDefault="001D05E8" w:rsidP="001D05E8">
            <w:pPr>
              <w:ind w:left="-112" w:right="-108"/>
              <w:jc w:val="center"/>
              <w:rPr>
                <w:sz w:val="16"/>
                <w:szCs w:val="16"/>
              </w:rPr>
            </w:pPr>
            <w:r w:rsidRPr="001D05E8">
              <w:rPr>
                <w:sz w:val="16"/>
                <w:szCs w:val="16"/>
              </w:rPr>
              <w:t>2020 г.</w:t>
            </w:r>
          </w:p>
        </w:tc>
        <w:tc>
          <w:tcPr>
            <w:tcW w:w="230" w:type="pct"/>
            <w:vAlign w:val="center"/>
          </w:tcPr>
          <w:p w:rsidR="001D05E8" w:rsidRPr="001D05E8" w:rsidRDefault="001D05E8" w:rsidP="001D05E8">
            <w:pPr>
              <w:ind w:left="-112" w:right="-108"/>
              <w:jc w:val="center"/>
              <w:rPr>
                <w:sz w:val="16"/>
                <w:szCs w:val="16"/>
              </w:rPr>
            </w:pPr>
            <w:r w:rsidRPr="001D05E8">
              <w:rPr>
                <w:sz w:val="16"/>
                <w:szCs w:val="16"/>
              </w:rPr>
              <w:t>Юли</w:t>
            </w:r>
          </w:p>
          <w:p w:rsidR="001D05E8" w:rsidRPr="001D05E8" w:rsidRDefault="001D05E8" w:rsidP="001D05E8">
            <w:pPr>
              <w:ind w:left="-112" w:right="-108"/>
              <w:jc w:val="center"/>
              <w:rPr>
                <w:sz w:val="16"/>
                <w:szCs w:val="16"/>
              </w:rPr>
            </w:pPr>
            <w:r w:rsidRPr="001D05E8">
              <w:rPr>
                <w:sz w:val="16"/>
                <w:szCs w:val="16"/>
              </w:rPr>
              <w:t>2020 г.</w:t>
            </w:r>
          </w:p>
        </w:tc>
        <w:tc>
          <w:tcPr>
            <w:tcW w:w="242"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vAlign w:val="center"/>
          </w:tcPr>
          <w:p w:rsidR="001D05E8" w:rsidRPr="001D05E8" w:rsidRDefault="001D05E8" w:rsidP="001D05E8">
            <w:pPr>
              <w:ind w:left="-108" w:right="-85"/>
              <w:jc w:val="center"/>
              <w:rPr>
                <w:sz w:val="16"/>
                <w:szCs w:val="16"/>
              </w:rPr>
            </w:pPr>
            <w:r w:rsidRPr="001D05E8">
              <w:rPr>
                <w:sz w:val="16"/>
                <w:szCs w:val="16"/>
              </w:rPr>
              <w:t>Непр.</w:t>
            </w:r>
          </w:p>
        </w:tc>
        <w:tc>
          <w:tcPr>
            <w:tcW w:w="297" w:type="pct"/>
            <w:vAlign w:val="center"/>
          </w:tcPr>
          <w:p w:rsidR="001D05E8" w:rsidRPr="001D05E8" w:rsidRDefault="001D05E8" w:rsidP="001D05E8">
            <w:pPr>
              <w:ind w:left="-108" w:right="-85"/>
              <w:jc w:val="center"/>
              <w:rPr>
                <w:sz w:val="16"/>
                <w:szCs w:val="16"/>
              </w:rPr>
            </w:pPr>
            <w:r w:rsidRPr="001D05E8">
              <w:rPr>
                <w:sz w:val="16"/>
                <w:szCs w:val="16"/>
              </w:rPr>
              <w:t>15 000 евро</w:t>
            </w:r>
          </w:p>
        </w:tc>
      </w:tr>
      <w:tr w:rsidR="00C23F62" w:rsidRPr="001D05E8" w:rsidTr="00D66DDD">
        <w:tc>
          <w:tcPr>
            <w:tcW w:w="212" w:type="pct"/>
            <w:vAlign w:val="center"/>
          </w:tcPr>
          <w:p w:rsidR="001D05E8" w:rsidRPr="001D05E8" w:rsidRDefault="001D05E8" w:rsidP="001D05E8">
            <w:pPr>
              <w:ind w:left="-108" w:right="-108"/>
              <w:jc w:val="center"/>
              <w:rPr>
                <w:sz w:val="16"/>
                <w:szCs w:val="16"/>
              </w:rPr>
            </w:pPr>
          </w:p>
        </w:tc>
        <w:tc>
          <w:tcPr>
            <w:tcW w:w="297" w:type="pct"/>
            <w:vAlign w:val="center"/>
          </w:tcPr>
          <w:p w:rsidR="001D05E8" w:rsidRPr="001D05E8" w:rsidRDefault="001D05E8" w:rsidP="001D05E8">
            <w:pPr>
              <w:ind w:left="-112" w:right="-108"/>
              <w:jc w:val="center"/>
              <w:rPr>
                <w:sz w:val="16"/>
                <w:szCs w:val="16"/>
              </w:rPr>
            </w:pPr>
            <w:r w:rsidRPr="001D05E8">
              <w:rPr>
                <w:sz w:val="16"/>
                <w:szCs w:val="16"/>
              </w:rPr>
              <w:t xml:space="preserve">Подмярка 19.1 „Помощ за подготвителни дейности“ </w:t>
            </w:r>
          </w:p>
          <w:p w:rsidR="001D05E8" w:rsidRPr="001D05E8" w:rsidRDefault="001D05E8" w:rsidP="001D05E8">
            <w:pPr>
              <w:ind w:left="-112" w:right="-108"/>
              <w:jc w:val="center"/>
              <w:rPr>
                <w:sz w:val="16"/>
                <w:szCs w:val="16"/>
              </w:rPr>
            </w:pPr>
          </w:p>
        </w:tc>
        <w:tc>
          <w:tcPr>
            <w:tcW w:w="339" w:type="pct"/>
            <w:vAlign w:val="center"/>
          </w:tcPr>
          <w:p w:rsidR="001D05E8" w:rsidRPr="001D05E8" w:rsidRDefault="001D05E8" w:rsidP="001D05E8">
            <w:pPr>
              <w:ind w:left="-112" w:right="-108"/>
              <w:jc w:val="center"/>
              <w:rPr>
                <w:sz w:val="16"/>
                <w:szCs w:val="16"/>
              </w:rPr>
            </w:pPr>
            <w:r w:rsidRPr="001D05E8">
              <w:rPr>
                <w:sz w:val="16"/>
                <w:szCs w:val="16"/>
              </w:rPr>
              <w:t xml:space="preserve">Подпомагане за малки  пилотни проекти на МИГ, преминали оценка за административно съответствие и допустимост по реда на Наредба № 22 от 2015 г. за </w:t>
            </w:r>
            <w:r w:rsidRPr="001D05E8">
              <w:rPr>
                <w:sz w:val="16"/>
                <w:szCs w:val="16"/>
              </w:rPr>
              <w:lastRenderedPageBreak/>
              <w:t>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297" w:type="pct"/>
            <w:vAlign w:val="center"/>
          </w:tcPr>
          <w:p w:rsidR="001D05E8" w:rsidRPr="001D05E8" w:rsidRDefault="001D05E8" w:rsidP="001D05E8">
            <w:pPr>
              <w:ind w:left="-112" w:right="-108"/>
              <w:jc w:val="center"/>
              <w:rPr>
                <w:sz w:val="16"/>
                <w:szCs w:val="16"/>
              </w:rPr>
            </w:pPr>
            <w:r w:rsidRPr="001D05E8">
              <w:rPr>
                <w:sz w:val="16"/>
                <w:szCs w:val="16"/>
              </w:rPr>
              <w:lastRenderedPageBreak/>
              <w:t>Подбор на проектни предложения</w:t>
            </w:r>
          </w:p>
        </w:tc>
        <w:tc>
          <w:tcPr>
            <w:tcW w:w="208"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vAlign w:val="center"/>
          </w:tcPr>
          <w:p w:rsidR="001D05E8" w:rsidRPr="001D05E8" w:rsidRDefault="001D05E8" w:rsidP="001D05E8">
            <w:pPr>
              <w:ind w:left="-135" w:right="-82"/>
              <w:jc w:val="center"/>
              <w:rPr>
                <w:sz w:val="16"/>
                <w:szCs w:val="16"/>
              </w:rPr>
            </w:pPr>
            <w:r w:rsidRPr="001D05E8">
              <w:rPr>
                <w:sz w:val="16"/>
                <w:szCs w:val="16"/>
              </w:rPr>
              <w:t>До левовата равностойност на 895 850 Евро</w:t>
            </w:r>
          </w:p>
        </w:tc>
        <w:tc>
          <w:tcPr>
            <w:tcW w:w="483" w:type="pct"/>
            <w:vAlign w:val="center"/>
          </w:tcPr>
          <w:p w:rsidR="001D05E8" w:rsidRPr="001D05E8" w:rsidRDefault="001D05E8" w:rsidP="001D05E8">
            <w:pPr>
              <w:ind w:left="-112" w:right="-108"/>
              <w:jc w:val="center"/>
              <w:rPr>
                <w:sz w:val="16"/>
                <w:szCs w:val="16"/>
              </w:rPr>
            </w:pPr>
            <w:r w:rsidRPr="001D05E8">
              <w:rPr>
                <w:sz w:val="16"/>
                <w:szCs w:val="16"/>
              </w:rPr>
              <w:t xml:space="preserve">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w:t>
            </w:r>
            <w:r w:rsidRPr="001D05E8">
              <w:rPr>
                <w:sz w:val="16"/>
                <w:szCs w:val="16"/>
              </w:rPr>
              <w:lastRenderedPageBreak/>
              <w:t>развитие“ от ПРСР 2014 – 2020 г., но нямат одобрена за финансиране стратегия за ВОМР през програмния период 2014 – 2020 г.</w:t>
            </w:r>
          </w:p>
        </w:tc>
        <w:tc>
          <w:tcPr>
            <w:tcW w:w="452" w:type="pct"/>
            <w:vAlign w:val="center"/>
          </w:tcPr>
          <w:p w:rsidR="001D05E8" w:rsidRPr="001D05E8" w:rsidRDefault="001D05E8" w:rsidP="001D05E8">
            <w:pPr>
              <w:ind w:left="-112" w:right="-108"/>
              <w:jc w:val="center"/>
              <w:rPr>
                <w:sz w:val="16"/>
                <w:szCs w:val="16"/>
              </w:rPr>
            </w:pPr>
            <w:r w:rsidRPr="001D05E8">
              <w:rPr>
                <w:sz w:val="16"/>
                <w:szCs w:val="16"/>
              </w:rPr>
              <w:lastRenderedPageBreak/>
              <w:t>1. дейности и събития, свързани с популяризиране на местната идентичност;</w:t>
            </w:r>
          </w:p>
          <w:p w:rsidR="001D05E8" w:rsidRPr="001D05E8" w:rsidRDefault="001D05E8" w:rsidP="001D05E8">
            <w:pPr>
              <w:ind w:left="-112" w:right="-108"/>
              <w:jc w:val="center"/>
              <w:rPr>
                <w:sz w:val="16"/>
                <w:szCs w:val="16"/>
              </w:rPr>
            </w:pPr>
          </w:p>
          <w:p w:rsidR="001D05E8" w:rsidRPr="001D05E8" w:rsidRDefault="001D05E8" w:rsidP="001D05E8">
            <w:pPr>
              <w:ind w:left="-112" w:right="-108"/>
              <w:jc w:val="center"/>
              <w:rPr>
                <w:sz w:val="16"/>
                <w:szCs w:val="16"/>
              </w:rPr>
            </w:pPr>
            <w:r w:rsidRPr="001D05E8">
              <w:rPr>
                <w:sz w:val="16"/>
                <w:szCs w:val="16"/>
              </w:rPr>
              <w:t>2. материални и нематериални активи в интерес на местната общност;</w:t>
            </w:r>
          </w:p>
          <w:p w:rsidR="001D05E8" w:rsidRPr="001D05E8" w:rsidRDefault="001D05E8" w:rsidP="001D05E8">
            <w:pPr>
              <w:ind w:left="-112" w:right="-108"/>
              <w:jc w:val="center"/>
              <w:rPr>
                <w:sz w:val="16"/>
                <w:szCs w:val="16"/>
              </w:rPr>
            </w:pPr>
          </w:p>
          <w:p w:rsidR="001D05E8" w:rsidRPr="001D05E8" w:rsidRDefault="001D05E8" w:rsidP="001D05E8">
            <w:pPr>
              <w:ind w:left="-112" w:right="-108"/>
              <w:jc w:val="center"/>
              <w:rPr>
                <w:sz w:val="16"/>
                <w:szCs w:val="16"/>
              </w:rPr>
            </w:pPr>
            <w:r w:rsidRPr="001D05E8">
              <w:rPr>
                <w:sz w:val="16"/>
                <w:szCs w:val="16"/>
              </w:rPr>
              <w:t xml:space="preserve">3. въвеждане на </w:t>
            </w:r>
            <w:r w:rsidRPr="001D05E8">
              <w:rPr>
                <w:sz w:val="16"/>
                <w:szCs w:val="16"/>
              </w:rPr>
              <w:lastRenderedPageBreak/>
              <w:t>иновативни за местната общност дейности.</w:t>
            </w:r>
          </w:p>
        </w:tc>
        <w:tc>
          <w:tcPr>
            <w:tcW w:w="636" w:type="pct"/>
            <w:vAlign w:val="center"/>
          </w:tcPr>
          <w:p w:rsidR="001D05E8" w:rsidRPr="001D05E8" w:rsidRDefault="001D05E8" w:rsidP="001D05E8">
            <w:pPr>
              <w:ind w:left="-112" w:right="-108"/>
              <w:rPr>
                <w:sz w:val="16"/>
                <w:szCs w:val="16"/>
              </w:rPr>
            </w:pPr>
            <w:r w:rsidRPr="001D05E8">
              <w:rPr>
                <w:sz w:val="16"/>
                <w:szCs w:val="16"/>
              </w:rPr>
              <w:lastRenderedPageBreak/>
              <w:t>Разходи за:</w:t>
            </w:r>
          </w:p>
          <w:p w:rsidR="001D05E8" w:rsidRPr="001D05E8" w:rsidRDefault="001D05E8" w:rsidP="001D05E8">
            <w:pPr>
              <w:ind w:left="-112" w:right="-108"/>
              <w:rPr>
                <w:sz w:val="16"/>
                <w:szCs w:val="16"/>
              </w:rPr>
            </w:pPr>
            <w:r w:rsidRPr="001D05E8">
              <w:rPr>
                <w:sz w:val="16"/>
                <w:szCs w:val="16"/>
              </w:rPr>
              <w:t>1. дейности и събития, свързани с популяризиране на местната идентичност, в това число за популяризиране на местни традиции, културно и историческо наследство, традиционни местни продукти и други;</w:t>
            </w:r>
          </w:p>
          <w:p w:rsidR="001D05E8" w:rsidRPr="001D05E8" w:rsidRDefault="001D05E8" w:rsidP="001D05E8">
            <w:pPr>
              <w:ind w:left="-112" w:right="-108"/>
              <w:rPr>
                <w:sz w:val="16"/>
                <w:szCs w:val="16"/>
              </w:rPr>
            </w:pPr>
            <w:r w:rsidRPr="001D05E8">
              <w:rPr>
                <w:sz w:val="16"/>
                <w:szCs w:val="16"/>
              </w:rPr>
              <w:t>2. материални и нематериални активи в интерес на местната общност;</w:t>
            </w:r>
          </w:p>
          <w:p w:rsidR="001D05E8" w:rsidRPr="001D05E8" w:rsidRDefault="001D05E8" w:rsidP="001D05E8">
            <w:pPr>
              <w:ind w:left="-112" w:right="-108"/>
              <w:rPr>
                <w:sz w:val="16"/>
                <w:szCs w:val="16"/>
              </w:rPr>
            </w:pPr>
            <w:r w:rsidRPr="001D05E8">
              <w:rPr>
                <w:sz w:val="16"/>
                <w:szCs w:val="16"/>
              </w:rPr>
              <w:lastRenderedPageBreak/>
              <w:t>3. въвеждане на иновативни за местната общност дейности.</w:t>
            </w:r>
          </w:p>
        </w:tc>
        <w:tc>
          <w:tcPr>
            <w:tcW w:w="254" w:type="pct"/>
            <w:vAlign w:val="center"/>
          </w:tcPr>
          <w:p w:rsidR="001D05E8" w:rsidRPr="001D05E8" w:rsidRDefault="001D05E8" w:rsidP="001D05E8">
            <w:pPr>
              <w:ind w:left="-112" w:right="-108"/>
              <w:jc w:val="center"/>
              <w:rPr>
                <w:sz w:val="16"/>
                <w:szCs w:val="16"/>
              </w:rPr>
            </w:pPr>
            <w:r w:rsidRPr="001D05E8">
              <w:rPr>
                <w:sz w:val="16"/>
                <w:szCs w:val="16"/>
              </w:rPr>
              <w:lastRenderedPageBreak/>
              <w:t>До 100%</w:t>
            </w:r>
          </w:p>
        </w:tc>
        <w:tc>
          <w:tcPr>
            <w:tcW w:w="212" w:type="pct"/>
            <w:vAlign w:val="center"/>
          </w:tcPr>
          <w:p w:rsidR="001D05E8" w:rsidRPr="001D05E8" w:rsidRDefault="001D05E8" w:rsidP="001D05E8">
            <w:pPr>
              <w:ind w:left="-112" w:right="-108"/>
              <w:jc w:val="center"/>
              <w:rPr>
                <w:sz w:val="16"/>
                <w:szCs w:val="16"/>
              </w:rPr>
            </w:pPr>
            <w:r w:rsidRPr="001D05E8">
              <w:rPr>
                <w:sz w:val="16"/>
                <w:szCs w:val="16"/>
              </w:rPr>
              <w:t>Октомври 2020 г.</w:t>
            </w:r>
          </w:p>
        </w:tc>
        <w:tc>
          <w:tcPr>
            <w:tcW w:w="230" w:type="pct"/>
            <w:vAlign w:val="center"/>
          </w:tcPr>
          <w:p w:rsidR="001D05E8" w:rsidRPr="001D05E8" w:rsidRDefault="001D05E8" w:rsidP="001D05E8">
            <w:pPr>
              <w:ind w:left="-112" w:right="-108"/>
              <w:jc w:val="center"/>
              <w:rPr>
                <w:sz w:val="16"/>
                <w:szCs w:val="16"/>
              </w:rPr>
            </w:pPr>
            <w:r w:rsidRPr="001D05E8">
              <w:rPr>
                <w:sz w:val="16"/>
                <w:szCs w:val="16"/>
              </w:rPr>
              <w:t>Декември</w:t>
            </w:r>
          </w:p>
          <w:p w:rsidR="001D05E8" w:rsidRPr="001D05E8" w:rsidRDefault="001D05E8" w:rsidP="001D05E8">
            <w:pPr>
              <w:ind w:left="-112" w:right="-108"/>
              <w:jc w:val="center"/>
              <w:rPr>
                <w:sz w:val="16"/>
                <w:szCs w:val="16"/>
              </w:rPr>
            </w:pPr>
            <w:r w:rsidRPr="001D05E8">
              <w:rPr>
                <w:sz w:val="16"/>
                <w:szCs w:val="16"/>
              </w:rPr>
              <w:t xml:space="preserve"> 2020 г.</w:t>
            </w:r>
          </w:p>
        </w:tc>
        <w:tc>
          <w:tcPr>
            <w:tcW w:w="242"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43" w:type="pct"/>
            <w:vAlign w:val="center"/>
          </w:tcPr>
          <w:p w:rsidR="001D05E8" w:rsidRPr="001D05E8" w:rsidRDefault="001D05E8" w:rsidP="001D05E8">
            <w:pPr>
              <w:ind w:left="-108" w:right="-85"/>
              <w:jc w:val="center"/>
              <w:rPr>
                <w:sz w:val="16"/>
                <w:szCs w:val="16"/>
              </w:rPr>
            </w:pPr>
            <w:r w:rsidRPr="001D05E8">
              <w:rPr>
                <w:sz w:val="16"/>
                <w:szCs w:val="16"/>
              </w:rPr>
              <w:t>Не</w:t>
            </w:r>
          </w:p>
        </w:tc>
        <w:tc>
          <w:tcPr>
            <w:tcW w:w="259" w:type="pct"/>
            <w:vAlign w:val="center"/>
          </w:tcPr>
          <w:p w:rsidR="001D05E8" w:rsidRPr="001D05E8" w:rsidRDefault="001D05E8" w:rsidP="001D05E8">
            <w:pPr>
              <w:ind w:left="-108" w:right="-85"/>
              <w:jc w:val="center"/>
              <w:rPr>
                <w:sz w:val="16"/>
                <w:szCs w:val="16"/>
              </w:rPr>
            </w:pPr>
            <w:r w:rsidRPr="001D05E8">
              <w:rPr>
                <w:sz w:val="16"/>
                <w:szCs w:val="16"/>
              </w:rPr>
              <w:t>Непр.</w:t>
            </w:r>
          </w:p>
        </w:tc>
        <w:tc>
          <w:tcPr>
            <w:tcW w:w="297" w:type="pct"/>
            <w:vAlign w:val="center"/>
          </w:tcPr>
          <w:p w:rsidR="001D05E8" w:rsidRPr="001D05E8" w:rsidRDefault="001D05E8" w:rsidP="001D05E8">
            <w:pPr>
              <w:ind w:left="-108" w:right="-85"/>
              <w:jc w:val="center"/>
              <w:rPr>
                <w:sz w:val="16"/>
                <w:szCs w:val="16"/>
              </w:rPr>
            </w:pPr>
            <w:r w:rsidRPr="001D05E8">
              <w:rPr>
                <w:sz w:val="16"/>
                <w:szCs w:val="16"/>
              </w:rPr>
              <w:t>Левовата равностойност на 100 000 евро</w:t>
            </w:r>
          </w:p>
        </w:tc>
      </w:tr>
      <w:tr w:rsidR="00C23F62" w:rsidRPr="001D05E8" w:rsidTr="00D66DDD">
        <w:tc>
          <w:tcPr>
            <w:tcW w:w="212" w:type="pct"/>
            <w:vAlign w:val="center"/>
          </w:tcPr>
          <w:p w:rsidR="001D05E8" w:rsidRPr="001D05E8" w:rsidRDefault="001D05E8" w:rsidP="001D05E8">
            <w:pPr>
              <w:ind w:left="-108" w:right="-108"/>
              <w:jc w:val="center"/>
              <w:rPr>
                <w:sz w:val="16"/>
                <w:szCs w:val="16"/>
              </w:rPr>
            </w:pPr>
            <w:r w:rsidRPr="001D05E8">
              <w:rPr>
                <w:sz w:val="16"/>
                <w:szCs w:val="16"/>
              </w:rPr>
              <w:lastRenderedPageBreak/>
              <w:t>1</w:t>
            </w:r>
            <w:r w:rsidRPr="001D05E8">
              <w:rPr>
                <w:sz w:val="16"/>
                <w:szCs w:val="16"/>
                <w:lang w:val="en-US"/>
              </w:rPr>
              <w:t>8</w:t>
            </w:r>
            <w:r w:rsidRPr="001D05E8">
              <w:rPr>
                <w:sz w:val="16"/>
                <w:szCs w:val="16"/>
              </w:rPr>
              <w:t>.</w:t>
            </w:r>
          </w:p>
        </w:tc>
        <w:tc>
          <w:tcPr>
            <w:tcW w:w="297" w:type="pct"/>
            <w:vAlign w:val="center"/>
          </w:tcPr>
          <w:p w:rsidR="001D05E8" w:rsidRPr="001D05E8" w:rsidRDefault="001D05E8" w:rsidP="001D05E8">
            <w:pPr>
              <w:ind w:left="-112" w:right="-108"/>
              <w:jc w:val="center"/>
              <w:rPr>
                <w:sz w:val="16"/>
                <w:szCs w:val="16"/>
              </w:rPr>
            </w:pPr>
            <w:r w:rsidRPr="001D05E8">
              <w:rPr>
                <w:sz w:val="16"/>
                <w:szCs w:val="16"/>
              </w:rPr>
              <w:t>Подмярка 19.3  „Подготовка и изпълнение на дейности за сътрудничество на местни инициативни групи“</w:t>
            </w:r>
          </w:p>
        </w:tc>
        <w:tc>
          <w:tcPr>
            <w:tcW w:w="339" w:type="pct"/>
            <w:vAlign w:val="center"/>
          </w:tcPr>
          <w:p w:rsidR="001D05E8" w:rsidRPr="001D05E8" w:rsidRDefault="001D05E8" w:rsidP="001D05E8">
            <w:pPr>
              <w:ind w:left="-112" w:right="-108"/>
              <w:jc w:val="center"/>
              <w:rPr>
                <w:sz w:val="16"/>
                <w:szCs w:val="16"/>
              </w:rPr>
            </w:pPr>
            <w:r w:rsidRPr="001D05E8">
              <w:rPr>
                <w:sz w:val="16"/>
                <w:szCs w:val="16"/>
              </w:rPr>
              <w:t xml:space="preserve">Подпомагане на проекти за подготвителни дейности и на проекти за съвместни дейности, насочени към разработване и въвеждане в практиката на продукти, услуги, иновации и др. в селските райони, комбинирайки разнообразните възможности на селските райони и развитие на </w:t>
            </w:r>
            <w:r w:rsidRPr="001D05E8">
              <w:rPr>
                <w:sz w:val="16"/>
                <w:szCs w:val="16"/>
              </w:rPr>
              <w:lastRenderedPageBreak/>
              <w:t>селски райони с добавена стойност;</w:t>
            </w:r>
          </w:p>
          <w:p w:rsidR="001D05E8" w:rsidRPr="001D05E8" w:rsidRDefault="001D05E8" w:rsidP="001D05E8">
            <w:pPr>
              <w:ind w:left="-112" w:right="-108"/>
              <w:jc w:val="center"/>
              <w:rPr>
                <w:sz w:val="16"/>
                <w:szCs w:val="16"/>
              </w:rPr>
            </w:pPr>
            <w:r w:rsidRPr="001D05E8">
              <w:rPr>
                <w:sz w:val="16"/>
                <w:szCs w:val="16"/>
              </w:rPr>
              <w:t>създаване на европейска идентичност в допълнение към местната, регионалната и националната идентичност.</w:t>
            </w:r>
          </w:p>
        </w:tc>
        <w:tc>
          <w:tcPr>
            <w:tcW w:w="297" w:type="pct"/>
            <w:vAlign w:val="center"/>
          </w:tcPr>
          <w:p w:rsidR="001D05E8" w:rsidRPr="001D05E8" w:rsidRDefault="001D05E8" w:rsidP="001D05E8">
            <w:pPr>
              <w:ind w:left="-112" w:right="-108"/>
              <w:jc w:val="center"/>
              <w:rPr>
                <w:sz w:val="16"/>
                <w:szCs w:val="16"/>
              </w:rPr>
            </w:pPr>
            <w:r w:rsidRPr="001D05E8">
              <w:rPr>
                <w:sz w:val="16"/>
                <w:szCs w:val="16"/>
              </w:rPr>
              <w:lastRenderedPageBreak/>
              <w:t>Подбор на проектни предложения</w:t>
            </w:r>
          </w:p>
        </w:tc>
        <w:tc>
          <w:tcPr>
            <w:tcW w:w="208" w:type="pct"/>
            <w:vAlign w:val="center"/>
          </w:tcPr>
          <w:p w:rsidR="001D05E8" w:rsidRPr="001D05E8" w:rsidRDefault="001D05E8" w:rsidP="001D05E8">
            <w:pPr>
              <w:ind w:left="-112" w:right="-108"/>
              <w:jc w:val="center"/>
              <w:rPr>
                <w:sz w:val="16"/>
                <w:szCs w:val="16"/>
              </w:rPr>
            </w:pPr>
            <w:r w:rsidRPr="001D05E8">
              <w:rPr>
                <w:sz w:val="16"/>
                <w:szCs w:val="16"/>
              </w:rPr>
              <w:t>Не</w:t>
            </w:r>
          </w:p>
        </w:tc>
        <w:tc>
          <w:tcPr>
            <w:tcW w:w="338" w:type="pct"/>
            <w:vAlign w:val="center"/>
          </w:tcPr>
          <w:p w:rsidR="001D05E8" w:rsidRPr="001D05E8" w:rsidRDefault="001D05E8" w:rsidP="001D05E8">
            <w:pPr>
              <w:ind w:left="-112" w:right="-108"/>
              <w:jc w:val="center"/>
              <w:rPr>
                <w:sz w:val="16"/>
                <w:szCs w:val="16"/>
              </w:rPr>
            </w:pPr>
            <w:r w:rsidRPr="001D05E8">
              <w:rPr>
                <w:sz w:val="16"/>
                <w:szCs w:val="16"/>
              </w:rPr>
              <w:t>За 2020 г.</w:t>
            </w:r>
          </w:p>
          <w:p w:rsidR="001D05E8" w:rsidRPr="001D05E8" w:rsidRDefault="001D05E8" w:rsidP="001D05E8">
            <w:pPr>
              <w:ind w:left="-112" w:right="-108"/>
              <w:jc w:val="center"/>
              <w:rPr>
                <w:sz w:val="16"/>
                <w:szCs w:val="16"/>
              </w:rPr>
            </w:pPr>
            <w:r w:rsidRPr="001D05E8">
              <w:rPr>
                <w:sz w:val="16"/>
                <w:szCs w:val="16"/>
              </w:rPr>
              <w:t xml:space="preserve">До левовата равностойност на </w:t>
            </w:r>
          </w:p>
          <w:p w:rsidR="001D05E8" w:rsidRPr="001D05E8" w:rsidRDefault="001D05E8" w:rsidP="001D05E8">
            <w:pPr>
              <w:ind w:left="-112" w:right="-108"/>
              <w:jc w:val="center"/>
              <w:rPr>
                <w:sz w:val="16"/>
                <w:szCs w:val="16"/>
              </w:rPr>
            </w:pPr>
            <w:r w:rsidRPr="001D05E8">
              <w:rPr>
                <w:sz w:val="16"/>
                <w:szCs w:val="16"/>
              </w:rPr>
              <w:t>4 477 401 евро.</w:t>
            </w:r>
          </w:p>
        </w:tc>
        <w:tc>
          <w:tcPr>
            <w:tcW w:w="483" w:type="pct"/>
            <w:vAlign w:val="center"/>
          </w:tcPr>
          <w:p w:rsidR="001D05E8" w:rsidRPr="001D05E8" w:rsidRDefault="001D05E8" w:rsidP="001D05E8">
            <w:pPr>
              <w:ind w:left="-112" w:right="-108"/>
              <w:jc w:val="center"/>
              <w:rPr>
                <w:sz w:val="16"/>
                <w:szCs w:val="16"/>
              </w:rPr>
            </w:pPr>
            <w:r w:rsidRPr="001D05E8">
              <w:rPr>
                <w:sz w:val="16"/>
                <w:szCs w:val="16"/>
              </w:rPr>
              <w:t>Одобрени местни инициативни групи.</w:t>
            </w:r>
          </w:p>
        </w:tc>
        <w:tc>
          <w:tcPr>
            <w:tcW w:w="452" w:type="pct"/>
            <w:vAlign w:val="center"/>
          </w:tcPr>
          <w:p w:rsidR="001D05E8" w:rsidRPr="001D05E8" w:rsidRDefault="001D05E8" w:rsidP="001D05E8">
            <w:pPr>
              <w:ind w:left="-112" w:right="-108"/>
              <w:jc w:val="center"/>
              <w:rPr>
                <w:sz w:val="16"/>
                <w:szCs w:val="16"/>
              </w:rPr>
            </w:pPr>
            <w:r w:rsidRPr="001D05E8">
              <w:rPr>
                <w:sz w:val="16"/>
                <w:szCs w:val="16"/>
              </w:rPr>
              <w:t>1. Подготвителни дейности по проекти за междутериториално и транснационално сътрудничество.</w:t>
            </w:r>
          </w:p>
          <w:p w:rsidR="001D05E8" w:rsidRPr="001D05E8" w:rsidRDefault="001D05E8" w:rsidP="001D05E8">
            <w:pPr>
              <w:ind w:left="-112" w:right="-108"/>
              <w:jc w:val="center"/>
              <w:rPr>
                <w:sz w:val="16"/>
                <w:szCs w:val="16"/>
              </w:rPr>
            </w:pPr>
            <w:r w:rsidRPr="001D05E8">
              <w:rPr>
                <w:sz w:val="16"/>
                <w:szCs w:val="16"/>
              </w:rPr>
              <w:t>2.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w:t>
            </w:r>
          </w:p>
        </w:tc>
        <w:tc>
          <w:tcPr>
            <w:tcW w:w="636" w:type="pct"/>
            <w:vAlign w:val="center"/>
          </w:tcPr>
          <w:p w:rsidR="001D05E8" w:rsidRPr="001D05E8" w:rsidRDefault="001D05E8" w:rsidP="001D05E8">
            <w:pPr>
              <w:ind w:left="-112" w:right="-108"/>
              <w:rPr>
                <w:sz w:val="16"/>
                <w:szCs w:val="16"/>
              </w:rPr>
            </w:pPr>
            <w:r w:rsidRPr="001D05E8">
              <w:rPr>
                <w:sz w:val="16"/>
                <w:szCs w:val="16"/>
              </w:rPr>
              <w:t>Разходи, свързани с разработването на съвместен продукт/услуга, вкл. разходи за материални и нематериални инвестиции;</w:t>
            </w:r>
          </w:p>
          <w:p w:rsidR="001D05E8" w:rsidRPr="001D05E8" w:rsidRDefault="001D05E8" w:rsidP="001D05E8">
            <w:pPr>
              <w:ind w:left="-112" w:right="-108"/>
              <w:rPr>
                <w:sz w:val="16"/>
                <w:szCs w:val="16"/>
              </w:rPr>
            </w:pPr>
            <w:r w:rsidRPr="001D05E8">
              <w:rPr>
                <w:sz w:val="16"/>
                <w:szCs w:val="16"/>
              </w:rPr>
              <w:t>Разходи за изследвания и пазарни проучвания, директно свързани със съвместното действие;</w:t>
            </w:r>
          </w:p>
          <w:p w:rsidR="001D05E8" w:rsidRPr="001D05E8" w:rsidRDefault="001D05E8" w:rsidP="001D05E8">
            <w:pPr>
              <w:ind w:left="-112" w:right="-108"/>
              <w:rPr>
                <w:sz w:val="16"/>
                <w:szCs w:val="16"/>
              </w:rPr>
            </w:pPr>
            <w:r w:rsidRPr="001D05E8">
              <w:rPr>
                <w:sz w:val="16"/>
                <w:szCs w:val="16"/>
              </w:rPr>
              <w:t>Разходи, свързани с реализирането на промоционални и маркетингови кампании;</w:t>
            </w:r>
          </w:p>
          <w:p w:rsidR="001D05E8" w:rsidRPr="001D05E8" w:rsidRDefault="001D05E8" w:rsidP="001D05E8">
            <w:pPr>
              <w:ind w:left="-112" w:right="-108"/>
              <w:rPr>
                <w:sz w:val="16"/>
                <w:szCs w:val="16"/>
              </w:rPr>
            </w:pPr>
            <w:r w:rsidRPr="001D05E8">
              <w:rPr>
                <w:sz w:val="16"/>
                <w:szCs w:val="16"/>
              </w:rPr>
              <w:t>Разходи, свързани с организирането на обучения, семинари, съвместни събития, срещи и т. н.;</w:t>
            </w:r>
          </w:p>
          <w:p w:rsidR="001D05E8" w:rsidRPr="001D05E8" w:rsidRDefault="001D05E8" w:rsidP="001D05E8">
            <w:pPr>
              <w:ind w:left="-112" w:right="-108"/>
              <w:rPr>
                <w:sz w:val="16"/>
                <w:szCs w:val="16"/>
              </w:rPr>
            </w:pPr>
            <w:r w:rsidRPr="001D05E8">
              <w:rPr>
                <w:sz w:val="16"/>
                <w:szCs w:val="16"/>
              </w:rPr>
              <w:t>Разходи за публикации в медиите;</w:t>
            </w:r>
          </w:p>
          <w:p w:rsidR="001D05E8" w:rsidRPr="001D05E8" w:rsidRDefault="001D05E8" w:rsidP="001D05E8">
            <w:pPr>
              <w:ind w:left="-112" w:right="-108"/>
              <w:rPr>
                <w:sz w:val="16"/>
                <w:szCs w:val="16"/>
              </w:rPr>
            </w:pPr>
            <w:r w:rsidRPr="001D05E8">
              <w:rPr>
                <w:sz w:val="16"/>
                <w:szCs w:val="16"/>
              </w:rPr>
              <w:t xml:space="preserve">Разходи, свързани със създаването и оперативната </w:t>
            </w:r>
            <w:r w:rsidRPr="001D05E8">
              <w:rPr>
                <w:sz w:val="16"/>
                <w:szCs w:val="16"/>
              </w:rPr>
              <w:lastRenderedPageBreak/>
              <w:t>поддръжка на общи структури, създадени с цел изпълнение на проекта;</w:t>
            </w:r>
          </w:p>
          <w:p w:rsidR="001D05E8" w:rsidRPr="001D05E8" w:rsidRDefault="001D05E8" w:rsidP="001D05E8">
            <w:pPr>
              <w:ind w:left="-112" w:right="-108"/>
              <w:rPr>
                <w:sz w:val="16"/>
                <w:szCs w:val="16"/>
              </w:rPr>
            </w:pPr>
            <w:r w:rsidRPr="001D05E8">
              <w:rPr>
                <w:sz w:val="16"/>
                <w:szCs w:val="16"/>
              </w:rPr>
              <w:t>Координация на дейностите по проекта (разходи за допълнителен персонал, пътни разходи, разходи за нощувки и храна, хонорари за експерти, разходи за превод, разходи за комуникация и др.).</w:t>
            </w:r>
          </w:p>
          <w:p w:rsidR="001D05E8" w:rsidRPr="001D05E8" w:rsidRDefault="001D05E8" w:rsidP="001D05E8">
            <w:pPr>
              <w:ind w:left="-112" w:right="-108"/>
              <w:rPr>
                <w:sz w:val="16"/>
                <w:szCs w:val="16"/>
              </w:rPr>
            </w:pPr>
            <w:r w:rsidRPr="001D05E8">
              <w:rPr>
                <w:sz w:val="16"/>
                <w:szCs w:val="16"/>
              </w:rPr>
              <w:t>Разходи, свързани със срещи с потенциални партньори;</w:t>
            </w:r>
          </w:p>
          <w:p w:rsidR="001D05E8" w:rsidRPr="001D05E8" w:rsidRDefault="001D05E8" w:rsidP="001D05E8">
            <w:pPr>
              <w:ind w:left="-112" w:right="-108"/>
              <w:rPr>
                <w:sz w:val="16"/>
                <w:szCs w:val="16"/>
              </w:rPr>
            </w:pPr>
            <w:r w:rsidRPr="001D05E8">
              <w:rPr>
                <w:sz w:val="16"/>
                <w:szCs w:val="16"/>
              </w:rPr>
              <w:t>Разходи, свързани с организирането на заседания и мероприятия за планиране на дейностите по проекта;</w:t>
            </w:r>
          </w:p>
          <w:p w:rsidR="001D05E8" w:rsidRPr="001D05E8" w:rsidRDefault="001D05E8" w:rsidP="001D05E8">
            <w:pPr>
              <w:ind w:left="-112" w:right="-108"/>
              <w:rPr>
                <w:sz w:val="16"/>
                <w:szCs w:val="16"/>
              </w:rPr>
            </w:pPr>
            <w:r w:rsidRPr="001D05E8">
              <w:rPr>
                <w:sz w:val="16"/>
                <w:szCs w:val="16"/>
              </w:rPr>
              <w:t>Разходи, свързани с разработването на проекта.</w:t>
            </w:r>
          </w:p>
        </w:tc>
        <w:tc>
          <w:tcPr>
            <w:tcW w:w="254" w:type="pct"/>
            <w:vAlign w:val="center"/>
          </w:tcPr>
          <w:p w:rsidR="001D05E8" w:rsidRPr="001D05E8" w:rsidRDefault="001D05E8" w:rsidP="001D05E8">
            <w:pPr>
              <w:ind w:left="-112" w:right="-108"/>
              <w:jc w:val="center"/>
              <w:rPr>
                <w:sz w:val="16"/>
                <w:szCs w:val="16"/>
              </w:rPr>
            </w:pPr>
            <w:r w:rsidRPr="001D05E8">
              <w:rPr>
                <w:sz w:val="16"/>
                <w:szCs w:val="16"/>
              </w:rPr>
              <w:lastRenderedPageBreak/>
              <w:t>До 100%</w:t>
            </w:r>
          </w:p>
        </w:tc>
        <w:tc>
          <w:tcPr>
            <w:tcW w:w="212" w:type="pct"/>
            <w:vAlign w:val="center"/>
          </w:tcPr>
          <w:p w:rsidR="001D05E8" w:rsidRPr="001D05E8" w:rsidRDefault="001D05E8" w:rsidP="001D05E8">
            <w:pPr>
              <w:ind w:left="-112" w:right="-108"/>
              <w:jc w:val="center"/>
              <w:rPr>
                <w:sz w:val="16"/>
                <w:szCs w:val="16"/>
              </w:rPr>
            </w:pPr>
            <w:r w:rsidRPr="001D05E8">
              <w:rPr>
                <w:sz w:val="16"/>
                <w:szCs w:val="16"/>
              </w:rPr>
              <w:t xml:space="preserve">Юни </w:t>
            </w:r>
          </w:p>
          <w:p w:rsidR="001D05E8" w:rsidRPr="001D05E8" w:rsidRDefault="001D05E8" w:rsidP="001D05E8">
            <w:pPr>
              <w:ind w:left="-112" w:right="-108"/>
              <w:jc w:val="center"/>
              <w:rPr>
                <w:sz w:val="16"/>
                <w:szCs w:val="16"/>
                <w:highlight w:val="yellow"/>
              </w:rPr>
            </w:pPr>
            <w:r w:rsidRPr="001D05E8">
              <w:rPr>
                <w:sz w:val="16"/>
                <w:szCs w:val="16"/>
              </w:rPr>
              <w:t>2020 г.</w:t>
            </w:r>
          </w:p>
        </w:tc>
        <w:tc>
          <w:tcPr>
            <w:tcW w:w="230" w:type="pct"/>
            <w:vAlign w:val="center"/>
          </w:tcPr>
          <w:p w:rsidR="001D05E8" w:rsidRPr="001D05E8" w:rsidRDefault="001D05E8" w:rsidP="001D05E8">
            <w:pPr>
              <w:ind w:right="-108"/>
              <w:rPr>
                <w:sz w:val="16"/>
                <w:szCs w:val="16"/>
              </w:rPr>
            </w:pPr>
          </w:p>
          <w:p w:rsidR="001D05E8" w:rsidRPr="001D05E8" w:rsidRDefault="001D05E8" w:rsidP="001D05E8">
            <w:pPr>
              <w:ind w:right="-108"/>
              <w:jc w:val="center"/>
              <w:rPr>
                <w:sz w:val="16"/>
                <w:szCs w:val="16"/>
              </w:rPr>
            </w:pPr>
            <w:r w:rsidRPr="001D05E8">
              <w:rPr>
                <w:sz w:val="16"/>
                <w:szCs w:val="16"/>
              </w:rPr>
              <w:t>Декември</w:t>
            </w:r>
          </w:p>
          <w:p w:rsidR="001D05E8" w:rsidRPr="001D05E8" w:rsidRDefault="001D05E8" w:rsidP="001D05E8">
            <w:pPr>
              <w:ind w:left="-112" w:right="-108"/>
              <w:jc w:val="center"/>
              <w:rPr>
                <w:sz w:val="16"/>
                <w:szCs w:val="16"/>
                <w:highlight w:val="yellow"/>
              </w:rPr>
            </w:pPr>
            <w:r w:rsidRPr="001D05E8">
              <w:rPr>
                <w:sz w:val="16"/>
                <w:szCs w:val="16"/>
              </w:rPr>
              <w:t>2020 г.</w:t>
            </w:r>
          </w:p>
        </w:tc>
        <w:tc>
          <w:tcPr>
            <w:tcW w:w="242" w:type="pct"/>
            <w:vAlign w:val="center"/>
          </w:tcPr>
          <w:p w:rsidR="001D05E8" w:rsidRPr="001D05E8" w:rsidRDefault="001D05E8" w:rsidP="001D05E8">
            <w:pPr>
              <w:ind w:left="-108" w:right="-85"/>
              <w:jc w:val="center"/>
              <w:rPr>
                <w:sz w:val="16"/>
                <w:szCs w:val="16"/>
              </w:rPr>
            </w:pPr>
            <w:r w:rsidRPr="001D05E8">
              <w:rPr>
                <w:sz w:val="16"/>
                <w:szCs w:val="16"/>
              </w:rPr>
              <w:t>Да</w:t>
            </w:r>
          </w:p>
        </w:tc>
        <w:tc>
          <w:tcPr>
            <w:tcW w:w="243" w:type="pct"/>
            <w:vAlign w:val="center"/>
          </w:tcPr>
          <w:p w:rsidR="001D05E8" w:rsidRPr="001D05E8" w:rsidRDefault="001D05E8" w:rsidP="001D05E8">
            <w:pPr>
              <w:ind w:left="-108" w:right="-85"/>
              <w:jc w:val="center"/>
              <w:rPr>
                <w:sz w:val="16"/>
                <w:szCs w:val="16"/>
              </w:rPr>
            </w:pPr>
            <w:r w:rsidRPr="001D05E8">
              <w:rPr>
                <w:sz w:val="16"/>
                <w:szCs w:val="16"/>
              </w:rPr>
              <w:t>Да</w:t>
            </w:r>
          </w:p>
        </w:tc>
        <w:tc>
          <w:tcPr>
            <w:tcW w:w="259" w:type="pct"/>
            <w:vAlign w:val="center"/>
          </w:tcPr>
          <w:p w:rsidR="001D05E8" w:rsidRPr="001D05E8" w:rsidRDefault="001D05E8" w:rsidP="001D05E8">
            <w:pPr>
              <w:ind w:left="-108" w:right="-85"/>
              <w:jc w:val="center"/>
              <w:rPr>
                <w:sz w:val="16"/>
                <w:szCs w:val="16"/>
              </w:rPr>
            </w:pPr>
            <w:r w:rsidRPr="001D05E8">
              <w:rPr>
                <w:sz w:val="16"/>
                <w:szCs w:val="16"/>
              </w:rPr>
              <w:t>Непр.</w:t>
            </w:r>
          </w:p>
        </w:tc>
        <w:tc>
          <w:tcPr>
            <w:tcW w:w="297" w:type="pct"/>
            <w:vAlign w:val="center"/>
          </w:tcPr>
          <w:p w:rsidR="001D05E8" w:rsidRPr="001D05E8" w:rsidRDefault="001D05E8" w:rsidP="001D05E8">
            <w:pPr>
              <w:ind w:left="-108" w:right="-85"/>
              <w:jc w:val="center"/>
              <w:rPr>
                <w:sz w:val="16"/>
                <w:szCs w:val="16"/>
              </w:rPr>
            </w:pPr>
            <w:r w:rsidRPr="001D05E8">
              <w:rPr>
                <w:sz w:val="16"/>
                <w:szCs w:val="16"/>
              </w:rPr>
              <w:t>За подготвителна помощ:</w:t>
            </w:r>
          </w:p>
          <w:p w:rsidR="001D05E8" w:rsidRPr="001D05E8" w:rsidRDefault="001D05E8" w:rsidP="001D05E8">
            <w:pPr>
              <w:ind w:left="-108" w:right="-85"/>
              <w:jc w:val="center"/>
              <w:rPr>
                <w:sz w:val="16"/>
                <w:szCs w:val="16"/>
              </w:rPr>
            </w:pPr>
            <w:r w:rsidRPr="001D05E8">
              <w:rPr>
                <w:sz w:val="16"/>
                <w:szCs w:val="16"/>
              </w:rPr>
              <w:t>левовата равностойност на 10 000 евро за проекти за вътрешно териториално сътрудничество и на 25 000 евро за проекти за транснационално сътрудничество.</w:t>
            </w:r>
          </w:p>
          <w:p w:rsidR="001D05E8" w:rsidRPr="001D05E8" w:rsidRDefault="001D05E8" w:rsidP="001D05E8">
            <w:pPr>
              <w:ind w:left="-108" w:right="-85"/>
              <w:jc w:val="center"/>
              <w:rPr>
                <w:sz w:val="16"/>
                <w:szCs w:val="16"/>
              </w:rPr>
            </w:pPr>
          </w:p>
          <w:p w:rsidR="001D05E8" w:rsidRPr="001D05E8" w:rsidRDefault="001D05E8" w:rsidP="001D05E8">
            <w:pPr>
              <w:ind w:left="-108" w:right="-85"/>
              <w:jc w:val="center"/>
              <w:rPr>
                <w:sz w:val="16"/>
                <w:szCs w:val="16"/>
              </w:rPr>
            </w:pPr>
            <w:r w:rsidRPr="001D05E8">
              <w:rPr>
                <w:sz w:val="16"/>
                <w:szCs w:val="16"/>
              </w:rPr>
              <w:t xml:space="preserve">За изпълнение </w:t>
            </w:r>
            <w:r w:rsidRPr="001D05E8">
              <w:rPr>
                <w:sz w:val="16"/>
                <w:szCs w:val="16"/>
              </w:rPr>
              <w:lastRenderedPageBreak/>
              <w:t>на проекти за сътрудничество:</w:t>
            </w:r>
          </w:p>
          <w:p w:rsidR="001D05E8" w:rsidRPr="001D05E8" w:rsidRDefault="001D05E8" w:rsidP="001D05E8">
            <w:pPr>
              <w:ind w:left="-108" w:right="-85"/>
              <w:jc w:val="center"/>
              <w:rPr>
                <w:sz w:val="16"/>
                <w:szCs w:val="16"/>
              </w:rPr>
            </w:pPr>
            <w:r w:rsidRPr="001D05E8">
              <w:rPr>
                <w:sz w:val="16"/>
                <w:szCs w:val="16"/>
              </w:rPr>
              <w:t>левовата равностойност на 100 000 евро за транснационално сътрудничество и на 50 000 евро за вътрешно териториално сътрудничество.</w:t>
            </w:r>
          </w:p>
        </w:tc>
      </w:tr>
    </w:tbl>
    <w:p w:rsidR="001D05E8" w:rsidRPr="001D05E8" w:rsidRDefault="001D05E8" w:rsidP="001D05E8">
      <w:pPr>
        <w:jc w:val="both"/>
        <w:rPr>
          <w:sz w:val="16"/>
          <w:szCs w:val="16"/>
        </w:rPr>
      </w:pPr>
    </w:p>
    <w:p w:rsidR="001D05E8" w:rsidRPr="001D05E8" w:rsidRDefault="001D05E8" w:rsidP="001D05E8">
      <w:pPr>
        <w:jc w:val="both"/>
        <w:rPr>
          <w:sz w:val="16"/>
          <w:szCs w:val="16"/>
        </w:rPr>
      </w:pPr>
    </w:p>
    <w:p w:rsidR="001D05E8" w:rsidRPr="001D05E8" w:rsidRDefault="001D05E8" w:rsidP="001D05E8">
      <w:pPr>
        <w:jc w:val="both"/>
        <w:rPr>
          <w:sz w:val="16"/>
          <w:szCs w:val="16"/>
        </w:rPr>
      </w:pPr>
    </w:p>
    <w:p w:rsidR="001D05E8" w:rsidRPr="001D05E8" w:rsidRDefault="001D05E8" w:rsidP="001D05E8">
      <w:pPr>
        <w:jc w:val="both"/>
        <w:rPr>
          <w:sz w:val="16"/>
          <w:szCs w:val="16"/>
        </w:rPr>
      </w:pPr>
    </w:p>
    <w:p w:rsidR="001D05E8" w:rsidRPr="001D05E8" w:rsidRDefault="001D05E8" w:rsidP="001D05E8">
      <w:pPr>
        <w:jc w:val="both"/>
        <w:rPr>
          <w:sz w:val="16"/>
          <w:szCs w:val="16"/>
        </w:rPr>
      </w:pPr>
      <w:r w:rsidRPr="001D05E8">
        <w:rPr>
          <w:sz w:val="16"/>
          <w:szCs w:val="16"/>
        </w:rPr>
        <w:t>* Приемите на заявления за подпомагане по мерки 10 „Агроекология и климат“, 11 „Биологично земеделие“, 12 „Плащания по „Натура 2000” и Рамковата директива за водите“, 13 „Плащания за райони, изправени пред природни или други специфични ограничения“ и 14 „Хуманно отношение към животните“ от ПРСР 2014 – 2020 г. не се включват в ИГРП за 2020 г., тъй като редът и изискванията на ПМС № 162 от 2016 г. не са приложими за тях. Приемът на заявления по мерки 10, 11, 12 и 13 се извършва по реда на Наредба № 5 от 2009 г. за условията и реда за подаване на заявления по схеми и мерки за директни плащания.</w:t>
      </w:r>
    </w:p>
    <w:p w:rsidR="001D05E8" w:rsidRPr="001D05E8" w:rsidRDefault="001D05E8" w:rsidP="001D05E8">
      <w:pPr>
        <w:jc w:val="both"/>
        <w:rPr>
          <w:b/>
          <w:sz w:val="16"/>
          <w:szCs w:val="16"/>
        </w:rPr>
      </w:pPr>
      <w:r w:rsidRPr="001D05E8">
        <w:rPr>
          <w:sz w:val="16"/>
          <w:szCs w:val="16"/>
        </w:rPr>
        <w:t xml:space="preserve">** Приемът на заявления за подпомагане по трите подмерки от мярка COVID от ПРСР 2014-2020 г. не е включен в ИГРП за 2020 г., тъй като редът и изискванията на ПМС № 162 от 2016 г. не са приложими за него. Приемът на заявления по трите подмерки от мярка COVID ще се извършва по реда на Наредба № 2 от 5 август 2020 г. 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(Наредба № 2 от 5 август 2020 г.), с която се уреждат условията и редът за предоставяне на финансовата помощ на засегнатите от кризата, предизвикана от COVID-19 земеделски стопани и МСП. Приемът на заявления за подпомагане по подмерки COVID-1 и COVID-2 се проведе в периода 19 август – 21 септември. Приемът на заявления за подпомагане по подмярка COVID-3 ще се проведе до края на 2020 г. </w:t>
      </w:r>
    </w:p>
    <w:p w:rsidR="001D05E8" w:rsidRPr="001D05E8" w:rsidRDefault="001D05E8" w:rsidP="001D05E8">
      <w:pPr>
        <w:ind w:left="720"/>
        <w:contextualSpacing/>
        <w:rPr>
          <w:b/>
          <w:sz w:val="22"/>
          <w:szCs w:val="22"/>
        </w:rPr>
      </w:pPr>
    </w:p>
    <w:p w:rsidR="001D05E8" w:rsidRDefault="001D05E8" w:rsidP="00A92939">
      <w:pPr>
        <w:spacing w:after="200" w:line="276" w:lineRule="auto"/>
        <w:rPr>
          <w:rFonts w:ascii="Calibri" w:eastAsia="Calibri" w:hAnsi="Calibri"/>
          <w:sz w:val="22"/>
          <w:szCs w:val="22"/>
          <w:lang w:eastAsia="en-US"/>
        </w:rPr>
      </w:pPr>
    </w:p>
    <w:p w:rsidR="00E67E86" w:rsidRDefault="00E67E86" w:rsidP="008F2014">
      <w:pPr>
        <w:pStyle w:val="aa"/>
        <w:tabs>
          <w:tab w:val="left" w:pos="900"/>
        </w:tabs>
        <w:jc w:val="left"/>
        <w:rPr>
          <w:sz w:val="24"/>
          <w:szCs w:val="24"/>
        </w:rPr>
      </w:pPr>
    </w:p>
    <w:p w:rsidR="00E67E86" w:rsidRDefault="00E67E86" w:rsidP="008F2014">
      <w:pPr>
        <w:pStyle w:val="aa"/>
        <w:tabs>
          <w:tab w:val="left" w:pos="900"/>
        </w:tabs>
        <w:jc w:val="left"/>
        <w:rPr>
          <w:sz w:val="24"/>
          <w:szCs w:val="24"/>
        </w:rPr>
      </w:pPr>
    </w:p>
    <w:p w:rsidR="00E67E86" w:rsidRDefault="00E67E86" w:rsidP="008F2014">
      <w:pPr>
        <w:pStyle w:val="aa"/>
        <w:tabs>
          <w:tab w:val="left" w:pos="900"/>
        </w:tabs>
        <w:jc w:val="left"/>
        <w:rPr>
          <w:sz w:val="24"/>
          <w:szCs w:val="24"/>
        </w:rPr>
      </w:pPr>
    </w:p>
    <w:p w:rsidR="00E67E86" w:rsidRDefault="00E67E86" w:rsidP="008F2014">
      <w:pPr>
        <w:pStyle w:val="aa"/>
        <w:tabs>
          <w:tab w:val="left" w:pos="900"/>
        </w:tabs>
        <w:jc w:val="left"/>
        <w:rPr>
          <w:sz w:val="24"/>
          <w:szCs w:val="24"/>
        </w:rPr>
      </w:pPr>
    </w:p>
    <w:p w:rsidR="00E67E86" w:rsidRDefault="0055294B" w:rsidP="0055294B">
      <w:pPr>
        <w:pStyle w:val="aa"/>
        <w:tabs>
          <w:tab w:val="left" w:pos="900"/>
        </w:tabs>
        <w:jc w:val="right"/>
        <w:rPr>
          <w:b w:val="0"/>
          <w:sz w:val="24"/>
          <w:szCs w:val="24"/>
        </w:rPr>
      </w:pPr>
      <w:r w:rsidRPr="0055294B">
        <w:rPr>
          <w:b w:val="0"/>
          <w:sz w:val="24"/>
          <w:szCs w:val="24"/>
        </w:rPr>
        <w:lastRenderedPageBreak/>
        <w:t>Приложение 3</w:t>
      </w:r>
      <w:r w:rsidR="00D82D25">
        <w:rPr>
          <w:b w:val="0"/>
          <w:sz w:val="24"/>
          <w:szCs w:val="24"/>
        </w:rPr>
        <w:t>.</w:t>
      </w:r>
    </w:p>
    <w:p w:rsidR="0055294B" w:rsidRPr="0055294B" w:rsidRDefault="0055294B" w:rsidP="0055294B">
      <w:pPr>
        <w:pStyle w:val="aa"/>
        <w:tabs>
          <w:tab w:val="left" w:pos="900"/>
        </w:tabs>
        <w:jc w:val="both"/>
        <w:rPr>
          <w:b w:val="0"/>
          <w:sz w:val="24"/>
          <w:szCs w:val="24"/>
        </w:rPr>
      </w:pPr>
    </w:p>
    <w:p w:rsidR="0055294B" w:rsidRPr="0055294B" w:rsidRDefault="00390598" w:rsidP="0055294B">
      <w:pPr>
        <w:spacing w:after="160"/>
        <w:jc w:val="center"/>
        <w:rPr>
          <w:rFonts w:eastAsia="Calibri"/>
          <w:b/>
          <w:bCs/>
          <w:lang w:eastAsia="en-US"/>
        </w:rPr>
      </w:pPr>
      <w:r>
        <w:rPr>
          <w:rFonts w:eastAsia="Calibri"/>
          <w:b/>
          <w:lang w:eastAsia="en-US"/>
        </w:rPr>
        <w:t>К</w:t>
      </w:r>
      <w:r w:rsidR="0055294B" w:rsidRPr="0055294B">
        <w:rPr>
          <w:rFonts w:eastAsia="Calibri"/>
          <w:b/>
          <w:lang w:eastAsia="en-US"/>
        </w:rPr>
        <w:t xml:space="preserve">ритерии за оценка на проекти по подмярка </w:t>
      </w:r>
      <w:r w:rsidR="0055294B" w:rsidRPr="0055294B">
        <w:rPr>
          <w:rFonts w:eastAsia="Calibri"/>
          <w:b/>
          <w:bCs/>
          <w:lang w:eastAsia="en-US"/>
        </w:rPr>
        <w:t>16.4 „Подкрепа за хоризонтално и вертикално сътрудничество между участниците във веригата на доставки“ от мярка 16 „Сътрудничество" от Програма за развитие на селските райони за периода 2014-2020 г.</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446"/>
        <w:gridCol w:w="8838"/>
        <w:gridCol w:w="1721"/>
      </w:tblGrid>
      <w:tr w:rsidR="00835232" w:rsidRPr="0055294B" w:rsidTr="00835232">
        <w:trPr>
          <w:trHeight w:val="781"/>
          <w:jc w:val="center"/>
        </w:trPr>
        <w:tc>
          <w:tcPr>
            <w:tcW w:w="4456" w:type="pct"/>
            <w:gridSpan w:val="3"/>
            <w:shd w:val="clear" w:color="auto" w:fill="D9D9D9"/>
            <w:vAlign w:val="center"/>
          </w:tcPr>
          <w:p w:rsidR="0055294B" w:rsidRPr="0055294B" w:rsidRDefault="0055294B" w:rsidP="0055294B">
            <w:pPr>
              <w:contextualSpacing/>
              <w:rPr>
                <w:rFonts w:eastAsia="Calibri"/>
                <w:b/>
                <w:sz w:val="22"/>
                <w:szCs w:val="22"/>
              </w:rPr>
            </w:pPr>
            <w:r w:rsidRPr="0055294B">
              <w:rPr>
                <w:rFonts w:eastAsia="Calibri"/>
                <w:b/>
                <w:sz w:val="22"/>
                <w:szCs w:val="22"/>
              </w:rPr>
              <w:t>Приоритет № 1 „Оценка на териториалния обхват на проекта“</w:t>
            </w:r>
          </w:p>
        </w:tc>
        <w:tc>
          <w:tcPr>
            <w:tcW w:w="544" w:type="pct"/>
            <w:shd w:val="clear" w:color="auto" w:fill="D9D9D9"/>
            <w:vAlign w:val="center"/>
          </w:tcPr>
          <w:p w:rsidR="0055294B" w:rsidRPr="0055294B" w:rsidRDefault="0055294B" w:rsidP="00835232">
            <w:pPr>
              <w:contextualSpacing/>
              <w:jc w:val="center"/>
              <w:rPr>
                <w:rFonts w:eastAsia="Calibri"/>
                <w:b/>
                <w:sz w:val="22"/>
                <w:szCs w:val="22"/>
              </w:rPr>
            </w:pPr>
            <w:r w:rsidRPr="0055294B">
              <w:rPr>
                <w:rFonts w:eastAsia="Calibri"/>
                <w:b/>
                <w:sz w:val="22"/>
                <w:szCs w:val="22"/>
              </w:rPr>
              <w:t>10</w:t>
            </w:r>
          </w:p>
        </w:tc>
      </w:tr>
      <w:tr w:rsidR="00835232" w:rsidRPr="0055294B" w:rsidTr="00835232">
        <w:trPr>
          <w:trHeight w:val="113"/>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1.1</w:t>
            </w:r>
          </w:p>
        </w:tc>
        <w:tc>
          <w:tcPr>
            <w:tcW w:w="1405" w:type="pct"/>
            <w:vMerge w:val="restart"/>
            <w:shd w:val="clear" w:color="auto" w:fill="auto"/>
            <w:vAlign w:val="center"/>
          </w:tcPr>
          <w:p w:rsidR="0055294B" w:rsidRPr="0055294B" w:rsidRDefault="0055294B" w:rsidP="0055294B">
            <w:pPr>
              <w:contextualSpacing/>
              <w:rPr>
                <w:rFonts w:eastAsia="Calibri"/>
                <w:sz w:val="22"/>
                <w:szCs w:val="22"/>
              </w:rPr>
            </w:pPr>
            <w:r w:rsidRPr="0055294B">
              <w:rPr>
                <w:rFonts w:eastAsia="Calibri"/>
                <w:sz w:val="22"/>
                <w:szCs w:val="22"/>
              </w:rPr>
              <w:t>Проекти, които се изпълняват на територията на планински райони</w:t>
            </w:r>
          </w:p>
        </w:tc>
        <w:tc>
          <w:tcPr>
            <w:tcW w:w="2793" w:type="pct"/>
            <w:shd w:val="clear" w:color="auto" w:fill="auto"/>
          </w:tcPr>
          <w:p w:rsidR="0055294B" w:rsidRPr="0055294B" w:rsidRDefault="0055294B" w:rsidP="00835232">
            <w:pPr>
              <w:contextualSpacing/>
              <w:jc w:val="both"/>
              <w:rPr>
                <w:rFonts w:eastAsia="Calibri"/>
                <w:sz w:val="22"/>
                <w:szCs w:val="22"/>
              </w:rPr>
            </w:pPr>
            <w:r w:rsidRPr="0055294B">
              <w:rPr>
                <w:rFonts w:eastAsia="Calibri"/>
                <w:sz w:val="22"/>
                <w:szCs w:val="22"/>
              </w:rPr>
              <w:t xml:space="preserve">Всички предвидени преки разходи по проекта са свързани с дейности, които се изпълняват на територията на планински райони в страната </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5</w:t>
            </w:r>
          </w:p>
        </w:tc>
      </w:tr>
      <w:tr w:rsidR="00835232" w:rsidRPr="0055294B" w:rsidTr="00835232">
        <w:trPr>
          <w:trHeight w:val="113"/>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1.2</w:t>
            </w:r>
          </w:p>
        </w:tc>
        <w:tc>
          <w:tcPr>
            <w:tcW w:w="1405" w:type="pct"/>
            <w:vMerge/>
            <w:shd w:val="clear" w:color="auto" w:fill="auto"/>
            <w:vAlign w:val="center"/>
          </w:tcPr>
          <w:p w:rsidR="0055294B" w:rsidRPr="0055294B" w:rsidRDefault="0055294B" w:rsidP="0055294B">
            <w:pPr>
              <w:contextualSpacing/>
              <w:rPr>
                <w:rFonts w:eastAsia="Calibri"/>
                <w:sz w:val="22"/>
                <w:szCs w:val="22"/>
              </w:rPr>
            </w:pPr>
          </w:p>
        </w:tc>
        <w:tc>
          <w:tcPr>
            <w:tcW w:w="2793" w:type="pct"/>
            <w:shd w:val="clear" w:color="auto" w:fill="auto"/>
          </w:tcPr>
          <w:p w:rsidR="0055294B" w:rsidRPr="0055294B" w:rsidRDefault="0055294B" w:rsidP="00835232">
            <w:pPr>
              <w:contextualSpacing/>
              <w:jc w:val="both"/>
              <w:rPr>
                <w:rFonts w:eastAsia="Calibri"/>
                <w:sz w:val="22"/>
                <w:szCs w:val="22"/>
              </w:rPr>
            </w:pPr>
            <w:r w:rsidRPr="0055294B">
              <w:rPr>
                <w:rFonts w:eastAsia="Calibri"/>
                <w:sz w:val="22"/>
                <w:szCs w:val="22"/>
              </w:rPr>
              <w:t>Най-малко 60 % от предвидените преки разходи по проекта са насочени към дейности, които се изпълняват на територията на планински райони в страната</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4</w:t>
            </w:r>
          </w:p>
        </w:tc>
      </w:tr>
      <w:tr w:rsidR="00835232" w:rsidRPr="0055294B" w:rsidTr="00835232">
        <w:trPr>
          <w:trHeight w:val="113"/>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1.3</w:t>
            </w:r>
          </w:p>
        </w:tc>
        <w:tc>
          <w:tcPr>
            <w:tcW w:w="1405" w:type="pct"/>
            <w:vMerge/>
            <w:shd w:val="clear" w:color="auto" w:fill="auto"/>
            <w:vAlign w:val="center"/>
          </w:tcPr>
          <w:p w:rsidR="0055294B" w:rsidRPr="0055294B" w:rsidRDefault="0055294B" w:rsidP="0055294B">
            <w:pPr>
              <w:contextualSpacing/>
              <w:rPr>
                <w:rFonts w:eastAsia="Calibri"/>
                <w:sz w:val="22"/>
                <w:szCs w:val="22"/>
              </w:rPr>
            </w:pPr>
          </w:p>
        </w:tc>
        <w:tc>
          <w:tcPr>
            <w:tcW w:w="2793" w:type="pct"/>
            <w:shd w:val="clear" w:color="auto" w:fill="auto"/>
          </w:tcPr>
          <w:p w:rsidR="0055294B" w:rsidRPr="0055294B" w:rsidRDefault="0055294B" w:rsidP="00835232">
            <w:pPr>
              <w:contextualSpacing/>
              <w:jc w:val="both"/>
              <w:rPr>
                <w:rFonts w:eastAsia="Calibri"/>
                <w:sz w:val="22"/>
                <w:szCs w:val="22"/>
              </w:rPr>
            </w:pPr>
            <w:r w:rsidRPr="0055294B">
              <w:rPr>
                <w:rFonts w:eastAsia="Calibri"/>
                <w:sz w:val="22"/>
                <w:szCs w:val="22"/>
              </w:rPr>
              <w:t>Най-малко 30 % от предвидените преки разходи по проекта са насочени към дейности, които се изпълняват на територията на планински райони в страната</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3</w:t>
            </w:r>
          </w:p>
        </w:tc>
      </w:tr>
      <w:tr w:rsidR="00835232" w:rsidRPr="0055294B" w:rsidTr="00835232">
        <w:trPr>
          <w:trHeight w:val="113"/>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1.4</w:t>
            </w:r>
          </w:p>
        </w:tc>
        <w:tc>
          <w:tcPr>
            <w:tcW w:w="1405" w:type="pct"/>
            <w:vMerge/>
            <w:shd w:val="clear" w:color="auto" w:fill="auto"/>
          </w:tcPr>
          <w:p w:rsidR="0055294B" w:rsidRPr="0055294B" w:rsidRDefault="0055294B" w:rsidP="0055294B">
            <w:pPr>
              <w:contextualSpacing/>
              <w:rPr>
                <w:rFonts w:eastAsia="Calibri"/>
                <w:sz w:val="22"/>
                <w:szCs w:val="22"/>
              </w:rPr>
            </w:pPr>
          </w:p>
        </w:tc>
        <w:tc>
          <w:tcPr>
            <w:tcW w:w="2793" w:type="pct"/>
            <w:shd w:val="clear" w:color="auto" w:fill="auto"/>
          </w:tcPr>
          <w:p w:rsidR="0055294B" w:rsidRPr="0055294B" w:rsidRDefault="0055294B" w:rsidP="00835232">
            <w:pPr>
              <w:contextualSpacing/>
              <w:jc w:val="both"/>
              <w:rPr>
                <w:rFonts w:eastAsia="Calibri"/>
                <w:sz w:val="22"/>
                <w:szCs w:val="22"/>
              </w:rPr>
            </w:pPr>
            <w:r w:rsidRPr="0055294B">
              <w:rPr>
                <w:rFonts w:eastAsia="Calibri"/>
                <w:sz w:val="22"/>
                <w:szCs w:val="22"/>
              </w:rPr>
              <w:t>Всички земеделски стопани, участващи в обединението за къса верига на доставки или местен пазар, извършват земеделска дейност, свързана с проекта на територията на планински райони в страната</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5</w:t>
            </w:r>
          </w:p>
        </w:tc>
      </w:tr>
      <w:tr w:rsidR="00835232" w:rsidRPr="0055294B" w:rsidTr="00835232">
        <w:trPr>
          <w:trHeight w:val="113"/>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1.5</w:t>
            </w:r>
          </w:p>
        </w:tc>
        <w:tc>
          <w:tcPr>
            <w:tcW w:w="1405" w:type="pct"/>
            <w:vMerge/>
            <w:shd w:val="clear" w:color="auto" w:fill="auto"/>
          </w:tcPr>
          <w:p w:rsidR="0055294B" w:rsidRPr="0055294B" w:rsidRDefault="0055294B" w:rsidP="0055294B">
            <w:pPr>
              <w:contextualSpacing/>
              <w:rPr>
                <w:rFonts w:eastAsia="Calibri"/>
                <w:sz w:val="22"/>
                <w:szCs w:val="22"/>
              </w:rPr>
            </w:pPr>
          </w:p>
        </w:tc>
        <w:tc>
          <w:tcPr>
            <w:tcW w:w="2793" w:type="pct"/>
            <w:shd w:val="clear" w:color="auto" w:fill="auto"/>
          </w:tcPr>
          <w:p w:rsidR="0055294B" w:rsidRPr="0055294B" w:rsidRDefault="0055294B" w:rsidP="00835232">
            <w:pPr>
              <w:contextualSpacing/>
              <w:jc w:val="both"/>
              <w:rPr>
                <w:rFonts w:eastAsia="Calibri"/>
                <w:sz w:val="22"/>
                <w:szCs w:val="22"/>
              </w:rPr>
            </w:pPr>
            <w:r w:rsidRPr="0055294B">
              <w:rPr>
                <w:rFonts w:eastAsia="Calibri"/>
                <w:sz w:val="22"/>
                <w:szCs w:val="22"/>
              </w:rPr>
              <w:t>Най-малко 75 % от земеделските стопани, участващи в обединението за къса верига на доставки или местен пазар, извършват земеделска дейност, свързана с проекта на територията на планински райони в страната</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3</w:t>
            </w:r>
          </w:p>
        </w:tc>
      </w:tr>
      <w:tr w:rsidR="00835232" w:rsidRPr="0055294B" w:rsidTr="00835232">
        <w:trPr>
          <w:trHeight w:val="113"/>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1.6</w:t>
            </w:r>
          </w:p>
        </w:tc>
        <w:tc>
          <w:tcPr>
            <w:tcW w:w="1405" w:type="pct"/>
            <w:vMerge/>
            <w:shd w:val="clear" w:color="auto" w:fill="auto"/>
          </w:tcPr>
          <w:p w:rsidR="0055294B" w:rsidRPr="0055294B" w:rsidRDefault="0055294B" w:rsidP="0055294B">
            <w:pPr>
              <w:contextualSpacing/>
              <w:rPr>
                <w:rFonts w:eastAsia="Calibri"/>
                <w:sz w:val="22"/>
                <w:szCs w:val="22"/>
              </w:rPr>
            </w:pPr>
          </w:p>
        </w:tc>
        <w:tc>
          <w:tcPr>
            <w:tcW w:w="2793" w:type="pct"/>
            <w:shd w:val="clear" w:color="auto" w:fill="auto"/>
          </w:tcPr>
          <w:p w:rsidR="0055294B" w:rsidRPr="0055294B" w:rsidRDefault="0055294B" w:rsidP="00835232">
            <w:pPr>
              <w:contextualSpacing/>
              <w:jc w:val="both"/>
              <w:rPr>
                <w:rFonts w:eastAsia="Calibri"/>
                <w:sz w:val="22"/>
                <w:szCs w:val="22"/>
              </w:rPr>
            </w:pPr>
            <w:r w:rsidRPr="0055294B">
              <w:rPr>
                <w:rFonts w:eastAsia="Calibri"/>
                <w:sz w:val="22"/>
                <w:szCs w:val="22"/>
              </w:rPr>
              <w:t>Най-малко 50 % от земеделските стопани, участващи в обединението за къса верига на доставки или местен пазар, извършват земеделска дейност, свързана с проекта на територията на планински райони в страната</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2</w:t>
            </w:r>
          </w:p>
        </w:tc>
      </w:tr>
      <w:tr w:rsidR="00835232" w:rsidRPr="0055294B" w:rsidTr="00835232">
        <w:trPr>
          <w:trHeight w:val="922"/>
          <w:jc w:val="center"/>
        </w:trPr>
        <w:tc>
          <w:tcPr>
            <w:tcW w:w="4456" w:type="pct"/>
            <w:gridSpan w:val="3"/>
            <w:shd w:val="clear" w:color="auto" w:fill="D9D9D9"/>
          </w:tcPr>
          <w:p w:rsidR="0055294B" w:rsidRPr="0055294B" w:rsidRDefault="0055294B" w:rsidP="0055294B">
            <w:pPr>
              <w:contextualSpacing/>
              <w:rPr>
                <w:rFonts w:eastAsia="Calibri"/>
                <w:b/>
                <w:sz w:val="22"/>
                <w:szCs w:val="22"/>
              </w:rPr>
            </w:pPr>
          </w:p>
          <w:p w:rsidR="0055294B" w:rsidRPr="0055294B" w:rsidRDefault="0055294B" w:rsidP="0055294B">
            <w:pPr>
              <w:contextualSpacing/>
              <w:rPr>
                <w:rFonts w:eastAsia="Calibri"/>
                <w:sz w:val="22"/>
                <w:szCs w:val="22"/>
              </w:rPr>
            </w:pPr>
            <w:r w:rsidRPr="0055294B">
              <w:rPr>
                <w:rFonts w:eastAsia="Calibri"/>
                <w:b/>
                <w:sz w:val="22"/>
                <w:szCs w:val="22"/>
              </w:rPr>
              <w:t>Приоритет № 2 „Оценка на  участниците  в проекта“</w:t>
            </w:r>
          </w:p>
        </w:tc>
        <w:tc>
          <w:tcPr>
            <w:tcW w:w="544" w:type="pct"/>
            <w:shd w:val="clear" w:color="auto" w:fill="D9D9D9"/>
            <w:vAlign w:val="center"/>
          </w:tcPr>
          <w:p w:rsidR="0055294B" w:rsidRPr="0055294B" w:rsidRDefault="0055294B" w:rsidP="00835232">
            <w:pPr>
              <w:contextualSpacing/>
              <w:jc w:val="center"/>
              <w:rPr>
                <w:rFonts w:eastAsia="Calibri"/>
                <w:b/>
                <w:sz w:val="22"/>
                <w:szCs w:val="22"/>
              </w:rPr>
            </w:pPr>
            <w:r w:rsidRPr="0055294B">
              <w:rPr>
                <w:rFonts w:eastAsia="Calibri"/>
                <w:b/>
                <w:sz w:val="22"/>
                <w:szCs w:val="22"/>
              </w:rPr>
              <w:t>50*</w:t>
            </w:r>
          </w:p>
        </w:tc>
      </w:tr>
      <w:tr w:rsidR="00835232" w:rsidRPr="0055294B" w:rsidTr="00835232">
        <w:trPr>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2</w:t>
            </w:r>
          </w:p>
        </w:tc>
        <w:tc>
          <w:tcPr>
            <w:tcW w:w="1405" w:type="pct"/>
            <w:shd w:val="clear" w:color="auto" w:fill="auto"/>
            <w:vAlign w:val="center"/>
          </w:tcPr>
          <w:p w:rsidR="0055294B" w:rsidRPr="0055294B" w:rsidRDefault="0055294B" w:rsidP="0055294B">
            <w:pPr>
              <w:contextualSpacing/>
              <w:rPr>
                <w:rFonts w:eastAsia="Calibri"/>
                <w:sz w:val="22"/>
                <w:szCs w:val="22"/>
              </w:rPr>
            </w:pPr>
            <w:r w:rsidRPr="0055294B">
              <w:rPr>
                <w:rFonts w:eastAsia="Calibri"/>
                <w:sz w:val="22"/>
                <w:szCs w:val="22"/>
              </w:rPr>
              <w:t>Проекти, представени от кандидати малки земеделски стопанства</w:t>
            </w:r>
          </w:p>
        </w:tc>
        <w:tc>
          <w:tcPr>
            <w:tcW w:w="2793" w:type="pct"/>
            <w:shd w:val="clear" w:color="auto" w:fill="auto"/>
          </w:tcPr>
          <w:p w:rsidR="0055294B" w:rsidRPr="0055294B" w:rsidRDefault="0055294B" w:rsidP="00835232">
            <w:pPr>
              <w:contextualSpacing/>
              <w:jc w:val="both"/>
              <w:rPr>
                <w:rFonts w:eastAsia="Calibri"/>
                <w:sz w:val="22"/>
                <w:szCs w:val="22"/>
              </w:rPr>
            </w:pPr>
            <w:r w:rsidRPr="0055294B">
              <w:rPr>
                <w:rFonts w:eastAsia="Calibri"/>
                <w:sz w:val="22"/>
                <w:szCs w:val="22"/>
              </w:rPr>
              <w:t>2.1 Най - малко 75 % от земеделските стопани, участващи в обединението за къса верига на доставки или местен пазар, попадат в категорията малки земеделски стопанства с икономически размер между 2000 и 7999 евро СПО или са одобрени за подпомагане по мерките включени в Тематичната подпрограма за развитие на малки земеделски стопанства от ПРСР 2014-2020</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40</w:t>
            </w:r>
          </w:p>
        </w:tc>
      </w:tr>
      <w:tr w:rsidR="00835232" w:rsidRPr="0055294B" w:rsidTr="00835232">
        <w:trPr>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3</w:t>
            </w:r>
          </w:p>
        </w:tc>
        <w:tc>
          <w:tcPr>
            <w:tcW w:w="1405" w:type="pct"/>
            <w:shd w:val="clear" w:color="auto" w:fill="auto"/>
            <w:vAlign w:val="center"/>
          </w:tcPr>
          <w:p w:rsidR="0055294B" w:rsidRPr="0055294B" w:rsidRDefault="0055294B" w:rsidP="0055294B">
            <w:pPr>
              <w:contextualSpacing/>
              <w:rPr>
                <w:rFonts w:eastAsia="Calibri"/>
                <w:sz w:val="22"/>
                <w:szCs w:val="22"/>
              </w:rPr>
            </w:pPr>
            <w:r w:rsidRPr="0055294B">
              <w:rPr>
                <w:rFonts w:eastAsia="Calibri"/>
                <w:sz w:val="22"/>
                <w:szCs w:val="22"/>
              </w:rPr>
              <w:t>Проекти представени от обединения, в които участват земеделски стопани, членуващи в признати групи/организации на производителите</w:t>
            </w:r>
          </w:p>
        </w:tc>
        <w:tc>
          <w:tcPr>
            <w:tcW w:w="2793" w:type="pct"/>
            <w:shd w:val="clear" w:color="auto" w:fill="auto"/>
            <w:vAlign w:val="center"/>
          </w:tcPr>
          <w:p w:rsidR="0055294B" w:rsidRPr="0055294B" w:rsidRDefault="0055294B" w:rsidP="00835232">
            <w:pPr>
              <w:contextualSpacing/>
              <w:jc w:val="both"/>
              <w:rPr>
                <w:rFonts w:eastAsia="Calibri"/>
                <w:sz w:val="22"/>
                <w:szCs w:val="22"/>
              </w:rPr>
            </w:pPr>
            <w:r w:rsidRPr="0055294B">
              <w:rPr>
                <w:rFonts w:eastAsia="Calibri"/>
                <w:sz w:val="22"/>
                <w:szCs w:val="22"/>
              </w:rPr>
              <w:t>3.1. В обединението участват земеделски стопани, членуващи в една или няколко признати група/организация на производители</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40</w:t>
            </w:r>
          </w:p>
        </w:tc>
      </w:tr>
      <w:tr w:rsidR="00835232" w:rsidRPr="0055294B" w:rsidTr="00835232">
        <w:trPr>
          <w:trHeight w:val="572"/>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lastRenderedPageBreak/>
              <w:t>4.1</w:t>
            </w:r>
          </w:p>
        </w:tc>
        <w:tc>
          <w:tcPr>
            <w:tcW w:w="1405" w:type="pct"/>
            <w:vMerge w:val="restart"/>
            <w:shd w:val="clear" w:color="auto" w:fill="auto"/>
            <w:vAlign w:val="center"/>
          </w:tcPr>
          <w:p w:rsidR="0055294B" w:rsidRPr="0055294B" w:rsidRDefault="0055294B" w:rsidP="0055294B">
            <w:pPr>
              <w:contextualSpacing/>
              <w:rPr>
                <w:rFonts w:eastAsia="Calibri"/>
                <w:sz w:val="22"/>
                <w:szCs w:val="22"/>
              </w:rPr>
            </w:pPr>
            <w:r w:rsidRPr="0055294B">
              <w:rPr>
                <w:rFonts w:eastAsia="Calibri"/>
                <w:sz w:val="22"/>
                <w:szCs w:val="22"/>
              </w:rPr>
              <w:t>Проекти, представени от обединения с включени по-голям брой земеделски стопани</w:t>
            </w:r>
          </w:p>
        </w:tc>
        <w:tc>
          <w:tcPr>
            <w:tcW w:w="2793" w:type="pct"/>
            <w:shd w:val="clear" w:color="auto" w:fill="auto"/>
          </w:tcPr>
          <w:p w:rsidR="0055294B" w:rsidRPr="0055294B" w:rsidRDefault="0055294B" w:rsidP="00835232">
            <w:pPr>
              <w:contextualSpacing/>
              <w:jc w:val="both"/>
              <w:rPr>
                <w:rFonts w:eastAsia="Calibri"/>
                <w:sz w:val="22"/>
                <w:szCs w:val="22"/>
              </w:rPr>
            </w:pPr>
            <w:r w:rsidRPr="0055294B">
              <w:rPr>
                <w:rFonts w:eastAsia="Calibri"/>
                <w:sz w:val="22"/>
                <w:szCs w:val="22"/>
              </w:rPr>
              <w:t>4.1. Проектното предложение се изпълнява от обединение за къса верига на доставки или местен пазар, включващо най-малко 15 земеделски стопани</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10</w:t>
            </w:r>
          </w:p>
        </w:tc>
      </w:tr>
      <w:tr w:rsidR="00835232" w:rsidRPr="0055294B" w:rsidTr="00835232">
        <w:trPr>
          <w:trHeight w:val="570"/>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4.2</w:t>
            </w:r>
          </w:p>
        </w:tc>
        <w:tc>
          <w:tcPr>
            <w:tcW w:w="1405" w:type="pct"/>
            <w:vMerge/>
            <w:shd w:val="clear" w:color="auto" w:fill="auto"/>
            <w:vAlign w:val="center"/>
          </w:tcPr>
          <w:p w:rsidR="0055294B" w:rsidRPr="0055294B" w:rsidRDefault="0055294B" w:rsidP="0055294B">
            <w:pPr>
              <w:contextualSpacing/>
              <w:rPr>
                <w:rFonts w:eastAsia="Calibri"/>
                <w:sz w:val="22"/>
                <w:szCs w:val="22"/>
              </w:rPr>
            </w:pPr>
          </w:p>
        </w:tc>
        <w:tc>
          <w:tcPr>
            <w:tcW w:w="2793" w:type="pct"/>
            <w:shd w:val="clear" w:color="auto" w:fill="auto"/>
          </w:tcPr>
          <w:p w:rsidR="0055294B" w:rsidRPr="0055294B" w:rsidRDefault="0055294B" w:rsidP="00835232">
            <w:pPr>
              <w:contextualSpacing/>
              <w:jc w:val="both"/>
              <w:rPr>
                <w:rFonts w:eastAsia="Calibri"/>
                <w:sz w:val="22"/>
                <w:szCs w:val="22"/>
              </w:rPr>
            </w:pPr>
            <w:r w:rsidRPr="0055294B">
              <w:rPr>
                <w:rFonts w:eastAsia="Calibri"/>
                <w:sz w:val="22"/>
                <w:szCs w:val="22"/>
              </w:rPr>
              <w:t>4.2. Проектното предложение се изпълнява от обединение за къса верига на доставки или местен пазар, включващо най-малко 10 земеделски стопани</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7</w:t>
            </w:r>
          </w:p>
        </w:tc>
      </w:tr>
      <w:tr w:rsidR="00835232" w:rsidRPr="0055294B" w:rsidTr="00835232">
        <w:trPr>
          <w:trHeight w:val="570"/>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4.3</w:t>
            </w:r>
          </w:p>
        </w:tc>
        <w:tc>
          <w:tcPr>
            <w:tcW w:w="1405" w:type="pct"/>
            <w:vMerge/>
            <w:shd w:val="clear" w:color="auto" w:fill="auto"/>
            <w:vAlign w:val="center"/>
          </w:tcPr>
          <w:p w:rsidR="0055294B" w:rsidRPr="0055294B" w:rsidRDefault="0055294B" w:rsidP="0055294B">
            <w:pPr>
              <w:contextualSpacing/>
              <w:rPr>
                <w:rFonts w:eastAsia="Calibri"/>
                <w:sz w:val="22"/>
                <w:szCs w:val="22"/>
              </w:rPr>
            </w:pPr>
          </w:p>
        </w:tc>
        <w:tc>
          <w:tcPr>
            <w:tcW w:w="2793" w:type="pct"/>
            <w:shd w:val="clear" w:color="auto" w:fill="auto"/>
          </w:tcPr>
          <w:p w:rsidR="0055294B" w:rsidRPr="0055294B" w:rsidRDefault="0055294B" w:rsidP="00835232">
            <w:pPr>
              <w:contextualSpacing/>
              <w:jc w:val="both"/>
              <w:rPr>
                <w:rFonts w:eastAsia="Calibri"/>
                <w:sz w:val="22"/>
                <w:szCs w:val="22"/>
              </w:rPr>
            </w:pPr>
            <w:r w:rsidRPr="0055294B">
              <w:rPr>
                <w:rFonts w:eastAsia="Calibri"/>
                <w:sz w:val="22"/>
                <w:szCs w:val="22"/>
              </w:rPr>
              <w:t>4.3. Проектното предложение се изпълнява от обединение за къса верига на доставки или местен пазар, включващо най-малко 5 земеделски стопани</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5</w:t>
            </w:r>
          </w:p>
        </w:tc>
      </w:tr>
      <w:tr w:rsidR="00835232" w:rsidRPr="0055294B" w:rsidTr="00835232">
        <w:trPr>
          <w:trHeight w:val="1052"/>
          <w:jc w:val="center"/>
        </w:trPr>
        <w:tc>
          <w:tcPr>
            <w:tcW w:w="4456" w:type="pct"/>
            <w:gridSpan w:val="3"/>
            <w:shd w:val="clear" w:color="auto" w:fill="D9D9D9"/>
          </w:tcPr>
          <w:p w:rsidR="0055294B" w:rsidRPr="0055294B" w:rsidRDefault="0055294B" w:rsidP="0055294B">
            <w:pPr>
              <w:contextualSpacing/>
              <w:rPr>
                <w:rFonts w:eastAsia="Calibri"/>
                <w:b/>
                <w:sz w:val="22"/>
                <w:szCs w:val="22"/>
              </w:rPr>
            </w:pPr>
          </w:p>
          <w:p w:rsidR="0055294B" w:rsidRPr="0055294B" w:rsidRDefault="0055294B" w:rsidP="0055294B">
            <w:pPr>
              <w:contextualSpacing/>
              <w:rPr>
                <w:rFonts w:eastAsia="Calibri"/>
                <w:b/>
                <w:sz w:val="22"/>
                <w:szCs w:val="22"/>
              </w:rPr>
            </w:pPr>
            <w:r w:rsidRPr="0055294B">
              <w:rPr>
                <w:rFonts w:eastAsia="Calibri"/>
                <w:b/>
                <w:sz w:val="22"/>
                <w:szCs w:val="22"/>
              </w:rPr>
              <w:t>Приоритет № 3 „Оценка на видовете  продукти, включени в обхвата на сътрудничеството“</w:t>
            </w:r>
          </w:p>
        </w:tc>
        <w:tc>
          <w:tcPr>
            <w:tcW w:w="544" w:type="pct"/>
            <w:shd w:val="clear" w:color="auto" w:fill="D9D9D9"/>
            <w:vAlign w:val="center"/>
          </w:tcPr>
          <w:p w:rsidR="0055294B" w:rsidRPr="0055294B" w:rsidRDefault="0055294B" w:rsidP="00835232">
            <w:pPr>
              <w:contextualSpacing/>
              <w:jc w:val="center"/>
              <w:rPr>
                <w:rFonts w:eastAsia="Calibri"/>
                <w:b/>
                <w:sz w:val="22"/>
                <w:szCs w:val="22"/>
              </w:rPr>
            </w:pPr>
            <w:r w:rsidRPr="0055294B">
              <w:rPr>
                <w:rFonts w:eastAsia="Calibri"/>
                <w:b/>
                <w:sz w:val="22"/>
                <w:szCs w:val="22"/>
              </w:rPr>
              <w:t>20</w:t>
            </w:r>
          </w:p>
        </w:tc>
      </w:tr>
      <w:tr w:rsidR="00835232" w:rsidRPr="0055294B" w:rsidTr="00835232">
        <w:trPr>
          <w:trHeight w:val="20"/>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5.1</w:t>
            </w:r>
          </w:p>
        </w:tc>
        <w:tc>
          <w:tcPr>
            <w:tcW w:w="1405" w:type="pct"/>
            <w:vMerge w:val="restar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Проекти свързани с предлагането на плодове, зеленчуци и/или животински продукти, включително преработени продукти от тях.</w:t>
            </w:r>
          </w:p>
        </w:tc>
        <w:tc>
          <w:tcPr>
            <w:tcW w:w="2793" w:type="pct"/>
            <w:shd w:val="clear" w:color="auto" w:fill="auto"/>
            <w:vAlign w:val="center"/>
          </w:tcPr>
          <w:p w:rsidR="0055294B" w:rsidRPr="0055294B" w:rsidRDefault="0055294B" w:rsidP="00835232">
            <w:pPr>
              <w:contextualSpacing/>
              <w:jc w:val="both"/>
              <w:rPr>
                <w:rFonts w:eastAsia="Calibri"/>
                <w:sz w:val="22"/>
                <w:szCs w:val="22"/>
              </w:rPr>
            </w:pPr>
            <w:r w:rsidRPr="0055294B">
              <w:rPr>
                <w:rFonts w:eastAsia="Calibri"/>
                <w:sz w:val="22"/>
                <w:szCs w:val="22"/>
              </w:rPr>
              <w:t>100 % от предвидените за реализация продукти по проекта, попадат в обхвата на приоритетни сектори „Плодове и зеленчуци“ и/или „Животновъдство“</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20</w:t>
            </w:r>
          </w:p>
        </w:tc>
      </w:tr>
      <w:tr w:rsidR="00835232" w:rsidRPr="0055294B" w:rsidTr="00835232">
        <w:trPr>
          <w:trHeight w:val="20"/>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5.2</w:t>
            </w:r>
          </w:p>
        </w:tc>
        <w:tc>
          <w:tcPr>
            <w:tcW w:w="1405" w:type="pct"/>
            <w:vMerge/>
            <w:shd w:val="clear" w:color="auto" w:fill="auto"/>
            <w:vAlign w:val="center"/>
          </w:tcPr>
          <w:p w:rsidR="0055294B" w:rsidRPr="0055294B" w:rsidRDefault="0055294B" w:rsidP="00835232">
            <w:pPr>
              <w:contextualSpacing/>
              <w:jc w:val="center"/>
              <w:rPr>
                <w:rFonts w:eastAsia="Calibri"/>
                <w:sz w:val="22"/>
                <w:szCs w:val="22"/>
              </w:rPr>
            </w:pPr>
          </w:p>
        </w:tc>
        <w:tc>
          <w:tcPr>
            <w:tcW w:w="2793" w:type="pct"/>
            <w:shd w:val="clear" w:color="auto" w:fill="auto"/>
            <w:vAlign w:val="center"/>
          </w:tcPr>
          <w:p w:rsidR="0055294B" w:rsidRPr="0055294B" w:rsidRDefault="0055294B" w:rsidP="00835232">
            <w:pPr>
              <w:contextualSpacing/>
              <w:jc w:val="both"/>
              <w:rPr>
                <w:rFonts w:eastAsia="Calibri"/>
                <w:sz w:val="22"/>
                <w:szCs w:val="22"/>
              </w:rPr>
            </w:pPr>
            <w:r w:rsidRPr="0055294B">
              <w:rPr>
                <w:rFonts w:eastAsia="Calibri"/>
                <w:sz w:val="22"/>
                <w:szCs w:val="22"/>
              </w:rPr>
              <w:t>Най-малко 60 % от общото количество на предвидените за реализация продукти по проекта, попадат в обхвата на приоритетни сектори „Плодове и зеленчуци“  и/или „Животновъдство“</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15</w:t>
            </w:r>
          </w:p>
        </w:tc>
      </w:tr>
      <w:tr w:rsidR="00835232" w:rsidRPr="0055294B" w:rsidTr="00835232">
        <w:trPr>
          <w:trHeight w:val="20"/>
          <w:jc w:val="center"/>
        </w:trPr>
        <w:tc>
          <w:tcPr>
            <w:tcW w:w="258"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5.3</w:t>
            </w:r>
          </w:p>
        </w:tc>
        <w:tc>
          <w:tcPr>
            <w:tcW w:w="1405" w:type="pct"/>
            <w:vMerge/>
            <w:shd w:val="clear" w:color="auto" w:fill="auto"/>
            <w:vAlign w:val="center"/>
          </w:tcPr>
          <w:p w:rsidR="0055294B" w:rsidRPr="0055294B" w:rsidRDefault="0055294B" w:rsidP="00835232">
            <w:pPr>
              <w:contextualSpacing/>
              <w:jc w:val="center"/>
              <w:rPr>
                <w:rFonts w:eastAsia="Calibri"/>
                <w:sz w:val="22"/>
                <w:szCs w:val="22"/>
              </w:rPr>
            </w:pPr>
          </w:p>
        </w:tc>
        <w:tc>
          <w:tcPr>
            <w:tcW w:w="2793" w:type="pct"/>
            <w:shd w:val="clear" w:color="auto" w:fill="auto"/>
            <w:vAlign w:val="center"/>
          </w:tcPr>
          <w:p w:rsidR="0055294B" w:rsidRPr="0055294B" w:rsidRDefault="0055294B" w:rsidP="00835232">
            <w:pPr>
              <w:contextualSpacing/>
              <w:jc w:val="both"/>
              <w:rPr>
                <w:rFonts w:eastAsia="Calibri"/>
                <w:sz w:val="22"/>
                <w:szCs w:val="22"/>
              </w:rPr>
            </w:pPr>
            <w:r w:rsidRPr="0055294B">
              <w:rPr>
                <w:rFonts w:eastAsia="Calibri"/>
                <w:sz w:val="22"/>
                <w:szCs w:val="22"/>
              </w:rPr>
              <w:t>Най-малко 30 %</w:t>
            </w:r>
            <w:r w:rsidRPr="0055294B">
              <w:rPr>
                <w:rFonts w:eastAsia="Calibri"/>
                <w:sz w:val="22"/>
                <w:szCs w:val="22"/>
                <w:lang w:eastAsia="en-US"/>
              </w:rPr>
              <w:t xml:space="preserve"> </w:t>
            </w:r>
            <w:r w:rsidRPr="0055294B">
              <w:rPr>
                <w:rFonts w:eastAsia="Calibri"/>
                <w:sz w:val="22"/>
                <w:szCs w:val="22"/>
              </w:rPr>
              <w:t>от общото количество на предвидените за реализация продукти по проекта, попадат в обхвата на приоритетни сектори „Плодове и зеленчуци“  и/или „Животновъдство“</w:t>
            </w:r>
          </w:p>
        </w:tc>
        <w:tc>
          <w:tcPr>
            <w:tcW w:w="544" w:type="pct"/>
            <w:shd w:val="clear" w:color="auto" w:fill="auto"/>
            <w:vAlign w:val="center"/>
          </w:tcPr>
          <w:p w:rsidR="0055294B" w:rsidRPr="0055294B" w:rsidRDefault="0055294B" w:rsidP="00835232">
            <w:pPr>
              <w:contextualSpacing/>
              <w:jc w:val="center"/>
              <w:rPr>
                <w:rFonts w:eastAsia="Calibri"/>
                <w:sz w:val="22"/>
                <w:szCs w:val="22"/>
              </w:rPr>
            </w:pPr>
            <w:r w:rsidRPr="0055294B">
              <w:rPr>
                <w:rFonts w:eastAsia="Calibri"/>
                <w:sz w:val="22"/>
                <w:szCs w:val="22"/>
              </w:rPr>
              <w:t>7</w:t>
            </w:r>
          </w:p>
        </w:tc>
      </w:tr>
      <w:tr w:rsidR="00835232" w:rsidRPr="0055294B" w:rsidTr="00835232">
        <w:trPr>
          <w:trHeight w:val="732"/>
          <w:jc w:val="center"/>
        </w:trPr>
        <w:tc>
          <w:tcPr>
            <w:tcW w:w="4456" w:type="pct"/>
            <w:gridSpan w:val="3"/>
            <w:shd w:val="clear" w:color="auto" w:fill="auto"/>
            <w:vAlign w:val="center"/>
          </w:tcPr>
          <w:p w:rsidR="0055294B" w:rsidRPr="0055294B" w:rsidRDefault="0055294B" w:rsidP="0055294B">
            <w:pPr>
              <w:contextualSpacing/>
              <w:rPr>
                <w:rFonts w:eastAsia="Calibri"/>
                <w:b/>
                <w:sz w:val="22"/>
                <w:szCs w:val="22"/>
              </w:rPr>
            </w:pPr>
            <w:r w:rsidRPr="0055294B">
              <w:rPr>
                <w:rFonts w:eastAsia="Calibri"/>
                <w:b/>
                <w:sz w:val="22"/>
                <w:szCs w:val="22"/>
              </w:rPr>
              <w:t>Максимален брой точки</w:t>
            </w:r>
          </w:p>
        </w:tc>
        <w:tc>
          <w:tcPr>
            <w:tcW w:w="544" w:type="pct"/>
            <w:shd w:val="clear" w:color="auto" w:fill="auto"/>
            <w:vAlign w:val="center"/>
          </w:tcPr>
          <w:p w:rsidR="0055294B" w:rsidRPr="0055294B" w:rsidRDefault="0055294B" w:rsidP="00835232">
            <w:pPr>
              <w:contextualSpacing/>
              <w:jc w:val="center"/>
              <w:rPr>
                <w:rFonts w:eastAsia="Calibri"/>
                <w:b/>
                <w:sz w:val="22"/>
                <w:szCs w:val="22"/>
              </w:rPr>
            </w:pPr>
            <w:r w:rsidRPr="0055294B">
              <w:rPr>
                <w:rFonts w:eastAsia="Calibri"/>
                <w:b/>
                <w:sz w:val="22"/>
                <w:szCs w:val="22"/>
              </w:rPr>
              <w:t>80</w:t>
            </w:r>
          </w:p>
        </w:tc>
      </w:tr>
    </w:tbl>
    <w:p w:rsidR="0055294B" w:rsidRPr="0055294B" w:rsidRDefault="0055294B" w:rsidP="0055294B">
      <w:pPr>
        <w:contextualSpacing/>
        <w:jc w:val="both"/>
        <w:rPr>
          <w:rFonts w:eastAsia="Calibri"/>
          <w:i/>
          <w:lang w:eastAsia="en-US"/>
        </w:rPr>
      </w:pPr>
    </w:p>
    <w:p w:rsidR="0055294B" w:rsidRPr="0055294B" w:rsidRDefault="0055294B" w:rsidP="0055294B">
      <w:pPr>
        <w:contextualSpacing/>
        <w:jc w:val="both"/>
        <w:rPr>
          <w:rFonts w:eastAsia="Calibri"/>
          <w:i/>
          <w:lang w:eastAsia="en-US"/>
        </w:rPr>
      </w:pPr>
      <w:r w:rsidRPr="0055294B">
        <w:rPr>
          <w:rFonts w:eastAsia="Calibri"/>
          <w:i/>
          <w:lang w:eastAsia="en-US"/>
        </w:rPr>
        <w:t>*Максималният брой на точките, като сбор от критерии за подбор № 2, № 3 и № 4.1 или № 4.2, или № 4.3 не може да надхвърля 50 точки.</w:t>
      </w:r>
    </w:p>
    <w:p w:rsidR="0055294B" w:rsidRPr="0055294B" w:rsidRDefault="0055294B" w:rsidP="0055294B">
      <w:pPr>
        <w:contextualSpacing/>
        <w:jc w:val="both"/>
        <w:rPr>
          <w:rFonts w:eastAsia="Calibri"/>
          <w:lang w:eastAsia="en-US"/>
        </w:rPr>
      </w:pPr>
      <w:r w:rsidRPr="0055294B">
        <w:rPr>
          <w:rFonts w:eastAsia="Calibri"/>
          <w:i/>
          <w:lang w:eastAsia="en-US"/>
        </w:rPr>
        <w:t>**Минимален брой точки за подпомагане на проекти по критериите за подбор – 10 точки.</w:t>
      </w:r>
    </w:p>
    <w:p w:rsidR="00E67E86" w:rsidRDefault="00E67E86" w:rsidP="008F2014">
      <w:pPr>
        <w:pStyle w:val="aa"/>
        <w:tabs>
          <w:tab w:val="left" w:pos="900"/>
        </w:tabs>
        <w:jc w:val="left"/>
        <w:rPr>
          <w:sz w:val="24"/>
          <w:szCs w:val="24"/>
        </w:rPr>
      </w:pPr>
    </w:p>
    <w:p w:rsidR="0055294B" w:rsidRDefault="0055294B" w:rsidP="008F2014">
      <w:pPr>
        <w:pStyle w:val="aa"/>
        <w:tabs>
          <w:tab w:val="left" w:pos="900"/>
        </w:tabs>
        <w:jc w:val="left"/>
        <w:rPr>
          <w:sz w:val="24"/>
          <w:szCs w:val="24"/>
        </w:rPr>
      </w:pPr>
    </w:p>
    <w:p w:rsidR="0055294B" w:rsidRDefault="0055294B" w:rsidP="008F2014">
      <w:pPr>
        <w:pStyle w:val="aa"/>
        <w:tabs>
          <w:tab w:val="left" w:pos="900"/>
        </w:tabs>
        <w:jc w:val="left"/>
        <w:rPr>
          <w:sz w:val="24"/>
          <w:szCs w:val="24"/>
        </w:rPr>
      </w:pPr>
    </w:p>
    <w:p w:rsidR="0055294B" w:rsidRDefault="0055294B" w:rsidP="008F2014">
      <w:pPr>
        <w:pStyle w:val="aa"/>
        <w:tabs>
          <w:tab w:val="left" w:pos="900"/>
        </w:tabs>
        <w:jc w:val="left"/>
        <w:rPr>
          <w:sz w:val="24"/>
          <w:szCs w:val="24"/>
        </w:rPr>
      </w:pPr>
    </w:p>
    <w:p w:rsidR="0055294B" w:rsidRDefault="0055294B" w:rsidP="008F2014">
      <w:pPr>
        <w:pStyle w:val="aa"/>
        <w:tabs>
          <w:tab w:val="left" w:pos="900"/>
        </w:tabs>
        <w:jc w:val="left"/>
        <w:rPr>
          <w:sz w:val="24"/>
          <w:szCs w:val="24"/>
        </w:rPr>
      </w:pPr>
    </w:p>
    <w:p w:rsidR="0055294B" w:rsidRDefault="0055294B" w:rsidP="008F2014">
      <w:pPr>
        <w:pStyle w:val="aa"/>
        <w:tabs>
          <w:tab w:val="left" w:pos="900"/>
        </w:tabs>
        <w:jc w:val="left"/>
        <w:rPr>
          <w:sz w:val="24"/>
          <w:szCs w:val="24"/>
        </w:rPr>
      </w:pPr>
    </w:p>
    <w:p w:rsidR="00E67E86" w:rsidRDefault="00E67E86" w:rsidP="008F2014">
      <w:pPr>
        <w:pStyle w:val="aa"/>
        <w:tabs>
          <w:tab w:val="left" w:pos="900"/>
        </w:tabs>
        <w:jc w:val="left"/>
        <w:rPr>
          <w:sz w:val="24"/>
          <w:szCs w:val="24"/>
        </w:rPr>
      </w:pPr>
    </w:p>
    <w:p w:rsidR="00E67E86" w:rsidRDefault="00E67E86" w:rsidP="008F2014">
      <w:pPr>
        <w:pStyle w:val="aa"/>
        <w:tabs>
          <w:tab w:val="left" w:pos="900"/>
        </w:tabs>
        <w:jc w:val="left"/>
        <w:rPr>
          <w:sz w:val="24"/>
          <w:szCs w:val="24"/>
        </w:rPr>
      </w:pPr>
    </w:p>
    <w:p w:rsidR="00E67E86" w:rsidRDefault="00E67E86" w:rsidP="008F2014">
      <w:pPr>
        <w:pStyle w:val="aa"/>
        <w:tabs>
          <w:tab w:val="left" w:pos="900"/>
        </w:tabs>
        <w:jc w:val="left"/>
        <w:rPr>
          <w:sz w:val="24"/>
          <w:szCs w:val="24"/>
        </w:rPr>
      </w:pPr>
    </w:p>
    <w:p w:rsidR="00E67E86" w:rsidRDefault="00E67E86" w:rsidP="008F2014">
      <w:pPr>
        <w:pStyle w:val="aa"/>
        <w:tabs>
          <w:tab w:val="left" w:pos="900"/>
        </w:tabs>
        <w:jc w:val="left"/>
        <w:rPr>
          <w:sz w:val="24"/>
          <w:szCs w:val="24"/>
        </w:rPr>
      </w:pPr>
    </w:p>
    <w:p w:rsidR="00E67E86" w:rsidRDefault="00E67E86" w:rsidP="008F2014">
      <w:pPr>
        <w:pStyle w:val="aa"/>
        <w:tabs>
          <w:tab w:val="left" w:pos="900"/>
        </w:tabs>
        <w:jc w:val="left"/>
        <w:rPr>
          <w:sz w:val="24"/>
          <w:szCs w:val="24"/>
        </w:rPr>
      </w:pPr>
    </w:p>
    <w:p w:rsidR="00E67E86" w:rsidRDefault="00E67E86" w:rsidP="008F2014">
      <w:pPr>
        <w:pStyle w:val="aa"/>
        <w:tabs>
          <w:tab w:val="left" w:pos="900"/>
        </w:tabs>
        <w:jc w:val="left"/>
        <w:rPr>
          <w:sz w:val="24"/>
          <w:szCs w:val="24"/>
        </w:rPr>
      </w:pPr>
    </w:p>
    <w:p w:rsidR="00E67E86" w:rsidRDefault="0055294B" w:rsidP="0055294B">
      <w:pPr>
        <w:pStyle w:val="aa"/>
        <w:tabs>
          <w:tab w:val="left" w:pos="900"/>
        </w:tabs>
        <w:jc w:val="right"/>
        <w:rPr>
          <w:b w:val="0"/>
          <w:sz w:val="24"/>
          <w:szCs w:val="24"/>
        </w:rPr>
      </w:pPr>
      <w:r w:rsidRPr="0055294B">
        <w:rPr>
          <w:b w:val="0"/>
          <w:sz w:val="24"/>
          <w:szCs w:val="24"/>
        </w:rPr>
        <w:t>Приложение 4</w:t>
      </w:r>
      <w:r w:rsidR="00D82D25">
        <w:rPr>
          <w:b w:val="0"/>
          <w:sz w:val="24"/>
          <w:szCs w:val="24"/>
        </w:rPr>
        <w:t>.</w:t>
      </w:r>
    </w:p>
    <w:p w:rsidR="0055294B" w:rsidRDefault="00390598" w:rsidP="0055294B">
      <w:pPr>
        <w:pStyle w:val="aa"/>
        <w:tabs>
          <w:tab w:val="left" w:pos="900"/>
        </w:tabs>
        <w:jc w:val="both"/>
        <w:rPr>
          <w:b w:val="0"/>
          <w:sz w:val="24"/>
          <w:szCs w:val="24"/>
        </w:rPr>
      </w:pPr>
      <w:r>
        <w:rPr>
          <w:b w:val="0"/>
          <w:sz w:val="24"/>
          <w:szCs w:val="24"/>
        </w:rPr>
        <w:t xml:space="preserve">           </w:t>
      </w:r>
    </w:p>
    <w:p w:rsidR="00612327" w:rsidRDefault="00612327" w:rsidP="00612327">
      <w:pPr>
        <w:spacing w:after="160"/>
        <w:ind w:right="-426"/>
        <w:jc w:val="center"/>
        <w:rPr>
          <w:rFonts w:eastAsia="Calibri"/>
          <w:b/>
          <w:lang w:eastAsia="en-US"/>
        </w:rPr>
      </w:pPr>
      <w:r>
        <w:rPr>
          <w:rFonts w:eastAsia="Calibri"/>
          <w:b/>
          <w:lang w:eastAsia="en-US"/>
        </w:rPr>
        <w:t>К</w:t>
      </w:r>
      <w:r w:rsidRPr="00612327">
        <w:rPr>
          <w:rFonts w:eastAsia="Calibri"/>
          <w:b/>
          <w:lang w:eastAsia="en-US"/>
        </w:rPr>
        <w:t xml:space="preserve">ритерии за подбор на проектни предложения по подмярка </w:t>
      </w:r>
      <w:r w:rsidRPr="00194641">
        <w:rPr>
          <w:rFonts w:eastAsia="Calibri"/>
          <w:b/>
          <w:lang w:eastAsia="en-US"/>
        </w:rPr>
        <w:t xml:space="preserve">2.2 </w:t>
      </w:r>
      <w:r w:rsidRPr="00612327">
        <w:rPr>
          <w:rFonts w:eastAsia="Calibri"/>
          <w:b/>
          <w:lang w:eastAsia="en-US"/>
        </w:rPr>
        <w:t>„</w:t>
      </w:r>
      <w:r w:rsidRPr="00194641">
        <w:rPr>
          <w:rFonts w:eastAsia="Calibri"/>
          <w:b/>
          <w:lang w:eastAsia="en-US"/>
        </w:rPr>
        <w:t>Създаване на консултантски услуги</w:t>
      </w:r>
      <w:r w:rsidRPr="00612327">
        <w:rPr>
          <w:rFonts w:eastAsia="Calibri"/>
          <w:b/>
          <w:lang w:eastAsia="en-US"/>
        </w:rPr>
        <w:t>“ от мярка 2 „</w:t>
      </w:r>
      <w:r w:rsidRPr="00194641">
        <w:rPr>
          <w:rFonts w:eastAsia="Calibri"/>
          <w:b/>
          <w:lang w:eastAsia="en-US"/>
        </w:rPr>
        <w:t xml:space="preserve">Консултантски услуги, </w:t>
      </w:r>
    </w:p>
    <w:p w:rsidR="00612327" w:rsidRDefault="00612327" w:rsidP="00612327">
      <w:pPr>
        <w:spacing w:after="160"/>
        <w:ind w:right="-426"/>
        <w:jc w:val="center"/>
        <w:rPr>
          <w:rFonts w:eastAsia="Calibri"/>
          <w:b/>
          <w:lang w:eastAsia="en-US"/>
        </w:rPr>
      </w:pPr>
      <w:r w:rsidRPr="00985C06">
        <w:rPr>
          <w:rFonts w:eastAsia="Calibri"/>
          <w:b/>
          <w:lang w:eastAsia="en-US"/>
        </w:rPr>
        <w:t>услуги по управление на стопанство и услуги по заместване в стопанство</w:t>
      </w:r>
      <w:r w:rsidRPr="00612327">
        <w:rPr>
          <w:rFonts w:eastAsia="Calibri"/>
          <w:b/>
          <w:lang w:eastAsia="en-US"/>
        </w:rPr>
        <w:t xml:space="preserve">“ от </w:t>
      </w:r>
    </w:p>
    <w:p w:rsidR="00612327" w:rsidRPr="00612327" w:rsidRDefault="00612327" w:rsidP="00612327">
      <w:pPr>
        <w:spacing w:after="160"/>
        <w:ind w:right="-426"/>
        <w:jc w:val="center"/>
        <w:rPr>
          <w:rFonts w:eastAsia="Calibri"/>
          <w:b/>
          <w:lang w:eastAsia="en-US"/>
        </w:rPr>
      </w:pPr>
      <w:r w:rsidRPr="00612327">
        <w:rPr>
          <w:rFonts w:eastAsia="Calibri"/>
          <w:b/>
          <w:lang w:eastAsia="en-US"/>
        </w:rPr>
        <w:t>Програма за раз</w:t>
      </w:r>
      <w:r w:rsidR="00D82D25">
        <w:rPr>
          <w:rFonts w:eastAsia="Calibri"/>
          <w:b/>
          <w:lang w:eastAsia="en-US"/>
        </w:rPr>
        <w:t xml:space="preserve">витие на селските райони </w:t>
      </w:r>
      <w:r w:rsidRPr="00612327">
        <w:rPr>
          <w:rFonts w:eastAsia="Calibri"/>
          <w:b/>
          <w:lang w:eastAsia="en-US"/>
        </w:rPr>
        <w:t>2014-2020 г.</w:t>
      </w:r>
    </w:p>
    <w:p w:rsidR="00612327" w:rsidRPr="00612327" w:rsidRDefault="00612327" w:rsidP="00612327">
      <w:pPr>
        <w:ind w:left="-425" w:right="-425"/>
        <w:contextualSpacing/>
        <w:jc w:val="both"/>
        <w:rPr>
          <w:rFonts w:eastAsia="Calibri"/>
          <w:lang w:eastAsia="en-US"/>
        </w:rPr>
      </w:pPr>
      <w:r>
        <w:rPr>
          <w:b/>
        </w:rPr>
        <w:t xml:space="preserve">     </w:t>
      </w:r>
    </w:p>
    <w:tbl>
      <w:tblPr>
        <w:tblW w:w="476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895"/>
        <w:gridCol w:w="1703"/>
      </w:tblGrid>
      <w:tr w:rsidR="00835232" w:rsidRPr="00835232" w:rsidTr="00835232">
        <w:trPr>
          <w:trHeight w:val="624"/>
        </w:trPr>
        <w:tc>
          <w:tcPr>
            <w:tcW w:w="276" w:type="pct"/>
            <w:shd w:val="clear" w:color="auto" w:fill="D9D9D9"/>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t>№</w:t>
            </w:r>
          </w:p>
        </w:tc>
        <w:tc>
          <w:tcPr>
            <w:tcW w:w="4173" w:type="pct"/>
            <w:shd w:val="clear" w:color="auto" w:fill="D9D9D9"/>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t>Приоритет/Критерии за подбор</w:t>
            </w:r>
          </w:p>
        </w:tc>
        <w:tc>
          <w:tcPr>
            <w:tcW w:w="551" w:type="pct"/>
            <w:shd w:val="clear" w:color="auto" w:fill="D9D9D9"/>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t>Макс. брой точки</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t>1</w:t>
            </w:r>
          </w:p>
        </w:tc>
        <w:tc>
          <w:tcPr>
            <w:tcW w:w="4173" w:type="pct"/>
            <w:shd w:val="clear" w:color="auto" w:fill="auto"/>
            <w:vAlign w:val="center"/>
          </w:tcPr>
          <w:p w:rsidR="00612327" w:rsidRPr="00612327" w:rsidRDefault="00612327" w:rsidP="00612327">
            <w:pPr>
              <w:rPr>
                <w:rFonts w:eastAsia="Calibri"/>
                <w:b/>
                <w:sz w:val="22"/>
                <w:szCs w:val="22"/>
                <w:lang w:eastAsia="en-US"/>
              </w:rPr>
            </w:pPr>
            <w:r w:rsidRPr="00612327">
              <w:rPr>
                <w:rFonts w:eastAsia="Calibri"/>
                <w:b/>
                <w:sz w:val="22"/>
                <w:szCs w:val="22"/>
                <w:lang w:eastAsia="en-US"/>
              </w:rPr>
              <w:t>Приоритет № 1: Население в териториалния обхват на офиса</w:t>
            </w:r>
          </w:p>
        </w:tc>
        <w:tc>
          <w:tcPr>
            <w:tcW w:w="551" w:type="pct"/>
            <w:shd w:val="clear" w:color="auto" w:fill="auto"/>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t>30</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1.1</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 xml:space="preserve">Териториалният обхват на мобилния офис, предвиден в проектното предложение, обхваща население под 10 000 души </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10</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1.2</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Териториалният обхват на мобилния офис, предвиден в проектното предложение, обхваща население от 10 001 до 15 000 души</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15</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1.3</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Териториалният обхват на мобилния офис, предвиден в проектното предложение, обхваща население от 15 001 до 30 000 души</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25</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1.4</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Териториалният обхват на мобилния офис, предвиден в проектното предложение, обхваща население над 30 001 души</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30</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t>2</w:t>
            </w:r>
          </w:p>
        </w:tc>
        <w:tc>
          <w:tcPr>
            <w:tcW w:w="4173" w:type="pct"/>
            <w:shd w:val="clear" w:color="auto" w:fill="auto"/>
            <w:vAlign w:val="center"/>
          </w:tcPr>
          <w:p w:rsidR="00612327" w:rsidRPr="00612327" w:rsidRDefault="00612327" w:rsidP="00612327">
            <w:pPr>
              <w:rPr>
                <w:rFonts w:eastAsia="Calibri"/>
                <w:b/>
                <w:sz w:val="22"/>
                <w:szCs w:val="22"/>
                <w:lang w:eastAsia="en-US"/>
              </w:rPr>
            </w:pPr>
            <w:r w:rsidRPr="00612327">
              <w:rPr>
                <w:rFonts w:eastAsia="Calibri"/>
                <w:b/>
                <w:sz w:val="22"/>
                <w:szCs w:val="22"/>
                <w:lang w:eastAsia="en-US"/>
              </w:rPr>
              <w:t>Приоритет № 2: Общ брой земеделски стопанства в териториалния обхват на офиса</w:t>
            </w:r>
          </w:p>
        </w:tc>
        <w:tc>
          <w:tcPr>
            <w:tcW w:w="551" w:type="pct"/>
            <w:shd w:val="clear" w:color="auto" w:fill="auto"/>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t>60</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2.1</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Териториалният обхват на офиса, предвиден в проектното предложение, обхваща под 300 земеделски стопанства</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15</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2.2</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Териториалният обхват на офиса, предвиден в проектното предложение, обхваща от 300 до 700 земеделски стопанства</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25</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2.3</w:t>
            </w:r>
          </w:p>
        </w:tc>
        <w:tc>
          <w:tcPr>
            <w:tcW w:w="4173" w:type="pct"/>
            <w:shd w:val="clear" w:color="auto" w:fill="auto"/>
          </w:tcPr>
          <w:p w:rsidR="00612327" w:rsidRPr="00612327" w:rsidRDefault="00612327" w:rsidP="00835232">
            <w:pPr>
              <w:jc w:val="both"/>
              <w:rPr>
                <w:rFonts w:eastAsia="Calibri"/>
                <w:sz w:val="22"/>
                <w:szCs w:val="22"/>
                <w:lang w:eastAsia="en-US"/>
              </w:rPr>
            </w:pPr>
            <w:r w:rsidRPr="00612327">
              <w:rPr>
                <w:rFonts w:eastAsia="Calibri"/>
                <w:sz w:val="22"/>
                <w:szCs w:val="22"/>
                <w:lang w:eastAsia="en-US"/>
              </w:rPr>
              <w:t>Териториалният обхват на офиса, предвиден в проектното предложение, обхваща от 701 до 1 000 земеделски стопанства</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40</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2.4</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Териториалният обхват на офиса, предвиден в проектното предложение, обхваща над 1 000 земеделски стопанства</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60</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lastRenderedPageBreak/>
              <w:t>3</w:t>
            </w:r>
          </w:p>
        </w:tc>
        <w:tc>
          <w:tcPr>
            <w:tcW w:w="4173" w:type="pct"/>
            <w:shd w:val="clear" w:color="auto" w:fill="auto"/>
            <w:vAlign w:val="center"/>
          </w:tcPr>
          <w:p w:rsidR="00612327" w:rsidRPr="00612327" w:rsidRDefault="00612327" w:rsidP="00612327">
            <w:pPr>
              <w:rPr>
                <w:rFonts w:eastAsia="Calibri"/>
                <w:b/>
                <w:sz w:val="22"/>
                <w:szCs w:val="22"/>
                <w:lang w:eastAsia="en-US"/>
              </w:rPr>
            </w:pPr>
            <w:r w:rsidRPr="00612327">
              <w:rPr>
                <w:rFonts w:eastAsia="Calibri"/>
                <w:b/>
                <w:sz w:val="22"/>
                <w:szCs w:val="22"/>
                <w:lang w:eastAsia="en-US"/>
              </w:rPr>
              <w:t>Приоритет № 3: Разстояние от общински център за разполагане на офиса до областен център в териториалния обхват на офиса</w:t>
            </w:r>
          </w:p>
        </w:tc>
        <w:tc>
          <w:tcPr>
            <w:tcW w:w="551" w:type="pct"/>
            <w:shd w:val="clear" w:color="auto" w:fill="auto"/>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t>10</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3.1</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 xml:space="preserve">Разстоянието от най-отдалечения общински център в обхвата на мобилния офис до областния център, попадащ в съответния обхват е под 20 км </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2</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3.2</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 xml:space="preserve">Разстоянието от най-отдалечения общински център в обхвата на мобилния офис до областния център, попадащ в съответния обхват е от 21 км до 30 км </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4</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3.3</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 xml:space="preserve">Разстоянието от най-отдалечения общински център в обхвата на мобилния офис до областния център, попадащ в съответния обхват е от 31 км до 40 км </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6</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3.4</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 xml:space="preserve">Разстоянието от най-отдалечения общински център в обхвата на мобилния офис до областния център, попадащ в съответния обхват е от 41 км до 50 км </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8</w:t>
            </w:r>
          </w:p>
        </w:tc>
      </w:tr>
      <w:tr w:rsidR="00835232" w:rsidRPr="00835232" w:rsidTr="00835232">
        <w:trPr>
          <w:trHeight w:val="624"/>
        </w:trPr>
        <w:tc>
          <w:tcPr>
            <w:tcW w:w="276"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3.5</w:t>
            </w:r>
          </w:p>
        </w:tc>
        <w:tc>
          <w:tcPr>
            <w:tcW w:w="4173" w:type="pct"/>
            <w:shd w:val="clear" w:color="auto" w:fill="auto"/>
          </w:tcPr>
          <w:p w:rsidR="00612327" w:rsidRPr="00612327" w:rsidRDefault="00612327" w:rsidP="00612327">
            <w:pPr>
              <w:rPr>
                <w:rFonts w:eastAsia="Calibri"/>
                <w:sz w:val="22"/>
                <w:szCs w:val="22"/>
                <w:lang w:eastAsia="en-US"/>
              </w:rPr>
            </w:pPr>
            <w:r w:rsidRPr="00612327">
              <w:rPr>
                <w:rFonts w:eastAsia="Calibri"/>
                <w:sz w:val="22"/>
                <w:szCs w:val="22"/>
                <w:lang w:eastAsia="en-US"/>
              </w:rPr>
              <w:t xml:space="preserve">Разстоянието от най-отдалечения общински център в обхвата на мобилния офис до областния център, попадащ в съответния обхват е над 50 км </w:t>
            </w:r>
          </w:p>
        </w:tc>
        <w:tc>
          <w:tcPr>
            <w:tcW w:w="551" w:type="pct"/>
            <w:shd w:val="clear" w:color="auto" w:fill="auto"/>
            <w:vAlign w:val="center"/>
          </w:tcPr>
          <w:p w:rsidR="00612327" w:rsidRPr="00612327" w:rsidRDefault="00612327" w:rsidP="00835232">
            <w:pPr>
              <w:jc w:val="center"/>
              <w:rPr>
                <w:rFonts w:eastAsia="Calibri"/>
                <w:sz w:val="22"/>
                <w:szCs w:val="22"/>
                <w:lang w:eastAsia="en-US"/>
              </w:rPr>
            </w:pPr>
            <w:r w:rsidRPr="00612327">
              <w:rPr>
                <w:rFonts w:eastAsia="Calibri"/>
                <w:sz w:val="22"/>
                <w:szCs w:val="22"/>
                <w:lang w:eastAsia="en-US"/>
              </w:rPr>
              <w:t>10</w:t>
            </w:r>
          </w:p>
        </w:tc>
      </w:tr>
      <w:tr w:rsidR="00612327" w:rsidRPr="00835232" w:rsidTr="00835232">
        <w:trPr>
          <w:trHeight w:val="624"/>
        </w:trPr>
        <w:tc>
          <w:tcPr>
            <w:tcW w:w="4449" w:type="pct"/>
            <w:gridSpan w:val="2"/>
            <w:shd w:val="clear" w:color="auto" w:fill="auto"/>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t>Максимален брой точки</w:t>
            </w:r>
          </w:p>
        </w:tc>
        <w:tc>
          <w:tcPr>
            <w:tcW w:w="551" w:type="pct"/>
            <w:shd w:val="clear" w:color="auto" w:fill="auto"/>
            <w:vAlign w:val="center"/>
          </w:tcPr>
          <w:p w:rsidR="00612327" w:rsidRPr="00612327" w:rsidRDefault="00612327" w:rsidP="00835232">
            <w:pPr>
              <w:jc w:val="center"/>
              <w:rPr>
                <w:rFonts w:eastAsia="Calibri"/>
                <w:b/>
                <w:sz w:val="22"/>
                <w:szCs w:val="22"/>
                <w:lang w:eastAsia="en-US"/>
              </w:rPr>
            </w:pPr>
            <w:r w:rsidRPr="00612327">
              <w:rPr>
                <w:rFonts w:eastAsia="Calibri"/>
                <w:b/>
                <w:sz w:val="22"/>
                <w:szCs w:val="22"/>
                <w:lang w:eastAsia="en-US"/>
              </w:rPr>
              <w:t>100</w:t>
            </w:r>
          </w:p>
        </w:tc>
      </w:tr>
    </w:tbl>
    <w:p w:rsidR="00612327" w:rsidRDefault="00612327" w:rsidP="0055294B">
      <w:pPr>
        <w:pStyle w:val="aa"/>
        <w:tabs>
          <w:tab w:val="left" w:pos="900"/>
        </w:tabs>
        <w:jc w:val="both"/>
        <w:rPr>
          <w:b w:val="0"/>
          <w:sz w:val="24"/>
          <w:szCs w:val="24"/>
        </w:rPr>
      </w:pPr>
    </w:p>
    <w:p w:rsidR="00612327" w:rsidRDefault="00612327" w:rsidP="0055294B">
      <w:pPr>
        <w:pStyle w:val="aa"/>
        <w:tabs>
          <w:tab w:val="left" w:pos="900"/>
        </w:tabs>
        <w:jc w:val="both"/>
        <w:rPr>
          <w:b w:val="0"/>
          <w:sz w:val="24"/>
          <w:szCs w:val="24"/>
        </w:rPr>
      </w:pPr>
    </w:p>
    <w:p w:rsidR="00612327" w:rsidRPr="00612327" w:rsidRDefault="00612327" w:rsidP="00612327">
      <w:pPr>
        <w:ind w:left="-426" w:right="-426"/>
        <w:contextualSpacing/>
        <w:jc w:val="both"/>
        <w:rPr>
          <w:rFonts w:eastAsia="Calibri"/>
          <w:b/>
          <w:lang w:eastAsia="en-US"/>
        </w:rPr>
      </w:pPr>
      <w:r>
        <w:rPr>
          <w:b/>
        </w:rPr>
        <w:tab/>
      </w:r>
      <w:r w:rsidRPr="00612327">
        <w:rPr>
          <w:rFonts w:eastAsia="Calibri"/>
          <w:b/>
          <w:lang w:eastAsia="en-US"/>
        </w:rPr>
        <w:t>Методика за оценка на проектни предложения:</w:t>
      </w:r>
    </w:p>
    <w:p w:rsidR="00612327" w:rsidRPr="00612327" w:rsidRDefault="00612327" w:rsidP="00612327">
      <w:pPr>
        <w:ind w:left="-426" w:right="-426"/>
        <w:contextualSpacing/>
        <w:jc w:val="both"/>
        <w:rPr>
          <w:rFonts w:eastAsia="Calibri"/>
          <w:i/>
          <w:lang w:eastAsia="en-US"/>
        </w:rPr>
      </w:pPr>
    </w:p>
    <w:p w:rsidR="00612327" w:rsidRPr="00612327" w:rsidRDefault="00612327" w:rsidP="00612327">
      <w:pPr>
        <w:numPr>
          <w:ilvl w:val="0"/>
          <w:numId w:val="4"/>
        </w:numPr>
        <w:spacing w:after="160" w:line="259" w:lineRule="auto"/>
        <w:ind w:right="-426"/>
        <w:contextualSpacing/>
        <w:jc w:val="both"/>
        <w:rPr>
          <w:rFonts w:eastAsia="Calibri"/>
          <w:i/>
          <w:lang w:eastAsia="en-US"/>
        </w:rPr>
      </w:pPr>
      <w:r w:rsidRPr="00612327">
        <w:rPr>
          <w:rFonts w:eastAsia="Calibri"/>
          <w:i/>
          <w:lang w:eastAsia="en-US"/>
        </w:rPr>
        <w:t xml:space="preserve">Минимален брой точки за един мобилен офис и едно проектно предложение – 29. </w:t>
      </w:r>
    </w:p>
    <w:p w:rsidR="00612327" w:rsidRPr="00612327" w:rsidRDefault="00612327" w:rsidP="00612327">
      <w:pPr>
        <w:ind w:left="142" w:right="-426" w:hanging="568"/>
        <w:contextualSpacing/>
        <w:jc w:val="both"/>
        <w:rPr>
          <w:rFonts w:eastAsia="Calibri"/>
          <w:i/>
          <w:lang w:eastAsia="en-US"/>
        </w:rPr>
      </w:pPr>
    </w:p>
    <w:p w:rsidR="00612327" w:rsidRPr="00612327" w:rsidRDefault="00612327" w:rsidP="00612327">
      <w:pPr>
        <w:numPr>
          <w:ilvl w:val="0"/>
          <w:numId w:val="4"/>
        </w:numPr>
        <w:spacing w:after="160" w:line="259" w:lineRule="auto"/>
        <w:ind w:right="-426"/>
        <w:contextualSpacing/>
        <w:jc w:val="both"/>
        <w:rPr>
          <w:rFonts w:eastAsia="Calibri"/>
          <w:i/>
          <w:lang w:eastAsia="en-US"/>
        </w:rPr>
      </w:pPr>
      <w:r w:rsidRPr="00612327">
        <w:rPr>
          <w:rFonts w:eastAsia="Calibri"/>
          <w:i/>
          <w:lang w:eastAsia="en-US"/>
        </w:rPr>
        <w:t>В случай на проектни предложения, включващи изграждане и функциониране на повече от един мобилен офис, оценката на проектното предложение се формира като средноаритметичен сбор от оценките на отделните допустими за подпомагане мобилни офиси.</w:t>
      </w:r>
    </w:p>
    <w:p w:rsidR="00612327" w:rsidRPr="00612327" w:rsidRDefault="00612327" w:rsidP="00612327">
      <w:pPr>
        <w:ind w:left="142" w:right="-426" w:hanging="568"/>
        <w:contextualSpacing/>
        <w:jc w:val="both"/>
        <w:rPr>
          <w:rFonts w:eastAsia="Calibri"/>
          <w:i/>
          <w:lang w:eastAsia="en-US"/>
        </w:rPr>
      </w:pPr>
    </w:p>
    <w:p w:rsidR="00612327" w:rsidRPr="00612327" w:rsidRDefault="00612327" w:rsidP="00612327">
      <w:pPr>
        <w:numPr>
          <w:ilvl w:val="0"/>
          <w:numId w:val="4"/>
        </w:numPr>
        <w:spacing w:after="160" w:line="259" w:lineRule="auto"/>
        <w:ind w:right="-426"/>
        <w:contextualSpacing/>
        <w:jc w:val="both"/>
        <w:rPr>
          <w:rFonts w:eastAsia="Calibri"/>
          <w:i/>
          <w:lang w:eastAsia="en-US"/>
        </w:rPr>
      </w:pPr>
      <w:r w:rsidRPr="00612327">
        <w:rPr>
          <w:rFonts w:eastAsia="Calibri"/>
          <w:i/>
          <w:lang w:eastAsia="en-US"/>
        </w:rPr>
        <w:t>Съответствието с минималните изисквания по критериите за подбор по Приоритет № 1 се преценяват въз основа на данни на НСИ за населението на Република България към 31.12.2019 година.</w:t>
      </w:r>
    </w:p>
    <w:p w:rsidR="00612327" w:rsidRPr="00612327" w:rsidRDefault="00612327" w:rsidP="00612327">
      <w:pPr>
        <w:ind w:left="142" w:right="-426" w:hanging="568"/>
        <w:contextualSpacing/>
        <w:jc w:val="both"/>
        <w:rPr>
          <w:rFonts w:eastAsia="Calibri"/>
          <w:i/>
          <w:lang w:eastAsia="en-US"/>
        </w:rPr>
      </w:pPr>
    </w:p>
    <w:p w:rsidR="00612327" w:rsidRPr="00612327" w:rsidRDefault="00612327" w:rsidP="00612327">
      <w:pPr>
        <w:numPr>
          <w:ilvl w:val="0"/>
          <w:numId w:val="4"/>
        </w:numPr>
        <w:spacing w:after="160" w:line="259" w:lineRule="auto"/>
        <w:ind w:right="-426"/>
        <w:contextualSpacing/>
        <w:jc w:val="both"/>
        <w:rPr>
          <w:rFonts w:eastAsia="Calibri"/>
          <w:i/>
          <w:lang w:eastAsia="en-US"/>
        </w:rPr>
      </w:pPr>
      <w:r w:rsidRPr="00612327">
        <w:rPr>
          <w:rFonts w:eastAsia="Calibri"/>
          <w:i/>
          <w:lang w:eastAsia="en-US"/>
        </w:rPr>
        <w:t>Съответствието с минималните изисквания по критериите за подбор по Приоритет № 2 се преценяват въз основа на окончателни данни от преброяване на земеделските стопанства в страната за 2010 година (Агростатистика към МЗХГ).</w:t>
      </w:r>
    </w:p>
    <w:p w:rsidR="00612327" w:rsidRPr="00612327" w:rsidRDefault="00612327" w:rsidP="00612327">
      <w:pPr>
        <w:ind w:left="284" w:right="-426" w:hanging="568"/>
        <w:contextualSpacing/>
        <w:jc w:val="both"/>
        <w:rPr>
          <w:rFonts w:eastAsia="Calibri"/>
          <w:i/>
          <w:lang w:eastAsia="en-US"/>
        </w:rPr>
      </w:pPr>
    </w:p>
    <w:p w:rsidR="00612327" w:rsidRPr="0055294B" w:rsidRDefault="00612327" w:rsidP="0055294B">
      <w:pPr>
        <w:pStyle w:val="aa"/>
        <w:tabs>
          <w:tab w:val="left" w:pos="900"/>
        </w:tabs>
        <w:jc w:val="both"/>
        <w:rPr>
          <w:b w:val="0"/>
          <w:sz w:val="24"/>
          <w:szCs w:val="24"/>
        </w:rPr>
      </w:pPr>
    </w:p>
    <w:sectPr w:rsidR="00612327" w:rsidRPr="0055294B" w:rsidSect="00A92939">
      <w:footerReference w:type="even" r:id="rId13"/>
      <w:footerReference w:type="default" r:id="rId14"/>
      <w:pgSz w:w="16838" w:h="11906" w:orient="landscape" w:code="9"/>
      <w:pgMar w:top="1418" w:right="567" w:bottom="720"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2B" w:rsidRDefault="00EF7D2B">
      <w:r>
        <w:separator/>
      </w:r>
    </w:p>
  </w:endnote>
  <w:endnote w:type="continuationSeparator" w:id="0">
    <w:p w:rsidR="00EF7D2B" w:rsidRDefault="00EF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bar">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71" w:rsidRDefault="005C0771" w:rsidP="007137D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C0771" w:rsidRDefault="005C0771" w:rsidP="00E7373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71" w:rsidRDefault="005C0771" w:rsidP="007137D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F0E41">
      <w:rPr>
        <w:rStyle w:val="a5"/>
        <w:noProof/>
      </w:rPr>
      <w:t>2</w:t>
    </w:r>
    <w:r>
      <w:rPr>
        <w:rStyle w:val="a5"/>
      </w:rPr>
      <w:fldChar w:fldCharType="end"/>
    </w:r>
  </w:p>
  <w:p w:rsidR="005C0771" w:rsidRDefault="005C0771" w:rsidP="00E7373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2B" w:rsidRDefault="00EF7D2B">
      <w:r>
        <w:separator/>
      </w:r>
    </w:p>
  </w:footnote>
  <w:footnote w:type="continuationSeparator" w:id="0">
    <w:p w:rsidR="00EF7D2B" w:rsidRDefault="00EF7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1ED4CE"/>
    <w:lvl w:ilvl="0">
      <w:start w:val="1"/>
      <w:numFmt w:val="bullet"/>
      <w:pStyle w:val="a"/>
      <w:lvlText w:val=""/>
      <w:lvlJc w:val="left"/>
      <w:pPr>
        <w:tabs>
          <w:tab w:val="num" w:pos="-60"/>
        </w:tabs>
        <w:ind w:left="-60" w:hanging="360"/>
      </w:pPr>
      <w:rPr>
        <w:rFonts w:ascii="Symbol" w:hAnsi="Symbol" w:hint="default"/>
      </w:rPr>
    </w:lvl>
  </w:abstractNum>
  <w:abstractNum w:abstractNumId="1">
    <w:nsid w:val="22414E47"/>
    <w:multiLevelType w:val="hybridMultilevel"/>
    <w:tmpl w:val="2542C2B6"/>
    <w:lvl w:ilvl="0" w:tplc="04090001">
      <w:start w:val="1"/>
      <w:numFmt w:val="bullet"/>
      <w:lvlText w:val=""/>
      <w:lvlJc w:val="left"/>
      <w:pPr>
        <w:ind w:left="181" w:hanging="360"/>
      </w:pPr>
      <w:rPr>
        <w:rFonts w:ascii="Symbol" w:hAnsi="Symbol"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2">
    <w:nsid w:val="54755AEC"/>
    <w:multiLevelType w:val="hybridMultilevel"/>
    <w:tmpl w:val="07280674"/>
    <w:lvl w:ilvl="0" w:tplc="B192C494">
      <w:start w:val="1"/>
      <w:numFmt w:val="decimal"/>
      <w:lvlText w:val="%1."/>
      <w:lvlJc w:val="left"/>
      <w:pPr>
        <w:ind w:left="-66" w:hanging="360"/>
      </w:pPr>
      <w:rPr>
        <w:rFonts w:hint="default"/>
      </w:rPr>
    </w:lvl>
    <w:lvl w:ilvl="1" w:tplc="04020019" w:tentative="1">
      <w:start w:val="1"/>
      <w:numFmt w:val="lowerLetter"/>
      <w:lvlText w:val="%2."/>
      <w:lvlJc w:val="left"/>
      <w:pPr>
        <w:ind w:left="654" w:hanging="360"/>
      </w:pPr>
    </w:lvl>
    <w:lvl w:ilvl="2" w:tplc="0402001B" w:tentative="1">
      <w:start w:val="1"/>
      <w:numFmt w:val="lowerRoman"/>
      <w:lvlText w:val="%3."/>
      <w:lvlJc w:val="right"/>
      <w:pPr>
        <w:ind w:left="1374" w:hanging="180"/>
      </w:pPr>
    </w:lvl>
    <w:lvl w:ilvl="3" w:tplc="0402000F" w:tentative="1">
      <w:start w:val="1"/>
      <w:numFmt w:val="decimal"/>
      <w:lvlText w:val="%4."/>
      <w:lvlJc w:val="left"/>
      <w:pPr>
        <w:ind w:left="2094" w:hanging="360"/>
      </w:pPr>
    </w:lvl>
    <w:lvl w:ilvl="4" w:tplc="04020019" w:tentative="1">
      <w:start w:val="1"/>
      <w:numFmt w:val="lowerLetter"/>
      <w:lvlText w:val="%5."/>
      <w:lvlJc w:val="left"/>
      <w:pPr>
        <w:ind w:left="2814" w:hanging="360"/>
      </w:pPr>
    </w:lvl>
    <w:lvl w:ilvl="5" w:tplc="0402001B" w:tentative="1">
      <w:start w:val="1"/>
      <w:numFmt w:val="lowerRoman"/>
      <w:lvlText w:val="%6."/>
      <w:lvlJc w:val="right"/>
      <w:pPr>
        <w:ind w:left="3534" w:hanging="180"/>
      </w:pPr>
    </w:lvl>
    <w:lvl w:ilvl="6" w:tplc="0402000F" w:tentative="1">
      <w:start w:val="1"/>
      <w:numFmt w:val="decimal"/>
      <w:lvlText w:val="%7."/>
      <w:lvlJc w:val="left"/>
      <w:pPr>
        <w:ind w:left="4254" w:hanging="360"/>
      </w:pPr>
    </w:lvl>
    <w:lvl w:ilvl="7" w:tplc="04020019" w:tentative="1">
      <w:start w:val="1"/>
      <w:numFmt w:val="lowerLetter"/>
      <w:lvlText w:val="%8."/>
      <w:lvlJc w:val="left"/>
      <w:pPr>
        <w:ind w:left="4974" w:hanging="360"/>
      </w:pPr>
    </w:lvl>
    <w:lvl w:ilvl="8" w:tplc="0402001B" w:tentative="1">
      <w:start w:val="1"/>
      <w:numFmt w:val="lowerRoman"/>
      <w:lvlText w:val="%9."/>
      <w:lvlJc w:val="right"/>
      <w:pPr>
        <w:ind w:left="5694" w:hanging="180"/>
      </w:pPr>
    </w:lvl>
  </w:abstractNum>
  <w:abstractNum w:abstractNumId="3">
    <w:nsid w:val="73C80115"/>
    <w:multiLevelType w:val="hybridMultilevel"/>
    <w:tmpl w:val="D2E65C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7F912092"/>
    <w:multiLevelType w:val="hybridMultilevel"/>
    <w:tmpl w:val="D4AA33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en M. Krastev">
    <w15:presenceInfo w15:providerId="AD" w15:userId="S-1-5-21-3673932534-3318588094-701912851-3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6D"/>
    <w:rsid w:val="00005555"/>
    <w:rsid w:val="00025158"/>
    <w:rsid w:val="00027B6F"/>
    <w:rsid w:val="00032C9A"/>
    <w:rsid w:val="00033EC2"/>
    <w:rsid w:val="000405B8"/>
    <w:rsid w:val="00050191"/>
    <w:rsid w:val="00051901"/>
    <w:rsid w:val="00052E10"/>
    <w:rsid w:val="0005599F"/>
    <w:rsid w:val="00055B4A"/>
    <w:rsid w:val="00056D28"/>
    <w:rsid w:val="00056DA5"/>
    <w:rsid w:val="0007615E"/>
    <w:rsid w:val="00080A5F"/>
    <w:rsid w:val="0008138C"/>
    <w:rsid w:val="00081B91"/>
    <w:rsid w:val="00085A99"/>
    <w:rsid w:val="00086E1E"/>
    <w:rsid w:val="000918F1"/>
    <w:rsid w:val="00095BBA"/>
    <w:rsid w:val="000A26CC"/>
    <w:rsid w:val="000A6290"/>
    <w:rsid w:val="000B4BBC"/>
    <w:rsid w:val="000C07AD"/>
    <w:rsid w:val="000C5167"/>
    <w:rsid w:val="000D1791"/>
    <w:rsid w:val="000D3A9C"/>
    <w:rsid w:val="000D6DDA"/>
    <w:rsid w:val="000E470F"/>
    <w:rsid w:val="000E5BB4"/>
    <w:rsid w:val="000F037C"/>
    <w:rsid w:val="000F46A4"/>
    <w:rsid w:val="001023FF"/>
    <w:rsid w:val="001058C9"/>
    <w:rsid w:val="0011460D"/>
    <w:rsid w:val="00120298"/>
    <w:rsid w:val="001339D2"/>
    <w:rsid w:val="001434BC"/>
    <w:rsid w:val="00143D19"/>
    <w:rsid w:val="0014484B"/>
    <w:rsid w:val="0015015D"/>
    <w:rsid w:val="00155BB0"/>
    <w:rsid w:val="001629B4"/>
    <w:rsid w:val="001650C8"/>
    <w:rsid w:val="00165912"/>
    <w:rsid w:val="0016787C"/>
    <w:rsid w:val="00170C0A"/>
    <w:rsid w:val="0017417A"/>
    <w:rsid w:val="001914E8"/>
    <w:rsid w:val="00192793"/>
    <w:rsid w:val="00192EF8"/>
    <w:rsid w:val="00194641"/>
    <w:rsid w:val="001959EE"/>
    <w:rsid w:val="00196676"/>
    <w:rsid w:val="001A0AD3"/>
    <w:rsid w:val="001A1D6C"/>
    <w:rsid w:val="001A735A"/>
    <w:rsid w:val="001D0466"/>
    <w:rsid w:val="001D05E8"/>
    <w:rsid w:val="001E51C3"/>
    <w:rsid w:val="001F7B14"/>
    <w:rsid w:val="0020491B"/>
    <w:rsid w:val="0021118A"/>
    <w:rsid w:val="00211448"/>
    <w:rsid w:val="00211858"/>
    <w:rsid w:val="002161A5"/>
    <w:rsid w:val="00233EE3"/>
    <w:rsid w:val="002538E8"/>
    <w:rsid w:val="002616BA"/>
    <w:rsid w:val="00264399"/>
    <w:rsid w:val="00267DCB"/>
    <w:rsid w:val="002731A2"/>
    <w:rsid w:val="00287263"/>
    <w:rsid w:val="002954BB"/>
    <w:rsid w:val="00297A65"/>
    <w:rsid w:val="002A1218"/>
    <w:rsid w:val="002A23AD"/>
    <w:rsid w:val="002A3A73"/>
    <w:rsid w:val="002A5780"/>
    <w:rsid w:val="002A6F68"/>
    <w:rsid w:val="002A705B"/>
    <w:rsid w:val="002A766C"/>
    <w:rsid w:val="002B0396"/>
    <w:rsid w:val="002B0B78"/>
    <w:rsid w:val="002C11BE"/>
    <w:rsid w:val="002C4C2C"/>
    <w:rsid w:val="002C591E"/>
    <w:rsid w:val="002D3ECD"/>
    <w:rsid w:val="002E0FD4"/>
    <w:rsid w:val="002F042E"/>
    <w:rsid w:val="002F08CD"/>
    <w:rsid w:val="002F3E64"/>
    <w:rsid w:val="002F6AF4"/>
    <w:rsid w:val="0030306D"/>
    <w:rsid w:val="00312293"/>
    <w:rsid w:val="00312CCE"/>
    <w:rsid w:val="0031441B"/>
    <w:rsid w:val="003165A6"/>
    <w:rsid w:val="00316609"/>
    <w:rsid w:val="003537A0"/>
    <w:rsid w:val="00354EC6"/>
    <w:rsid w:val="00356970"/>
    <w:rsid w:val="00356C80"/>
    <w:rsid w:val="00364E3B"/>
    <w:rsid w:val="00365E21"/>
    <w:rsid w:val="003770AB"/>
    <w:rsid w:val="00390598"/>
    <w:rsid w:val="0039336B"/>
    <w:rsid w:val="0039506E"/>
    <w:rsid w:val="003B39A1"/>
    <w:rsid w:val="003B5F6E"/>
    <w:rsid w:val="003C4AB5"/>
    <w:rsid w:val="003D1694"/>
    <w:rsid w:val="003D43C7"/>
    <w:rsid w:val="003F35A2"/>
    <w:rsid w:val="00412DE3"/>
    <w:rsid w:val="004148CD"/>
    <w:rsid w:val="0041581F"/>
    <w:rsid w:val="00424C27"/>
    <w:rsid w:val="00425E0E"/>
    <w:rsid w:val="00430F64"/>
    <w:rsid w:val="00433716"/>
    <w:rsid w:val="00436F3C"/>
    <w:rsid w:val="0044176D"/>
    <w:rsid w:val="0044401C"/>
    <w:rsid w:val="00450029"/>
    <w:rsid w:val="00450F63"/>
    <w:rsid w:val="00452FF9"/>
    <w:rsid w:val="004543AD"/>
    <w:rsid w:val="00456C97"/>
    <w:rsid w:val="0047655D"/>
    <w:rsid w:val="00482A7B"/>
    <w:rsid w:val="00483384"/>
    <w:rsid w:val="00497330"/>
    <w:rsid w:val="004A120A"/>
    <w:rsid w:val="004A7A98"/>
    <w:rsid w:val="004B2E88"/>
    <w:rsid w:val="004B4A28"/>
    <w:rsid w:val="004D5C58"/>
    <w:rsid w:val="004D5DF1"/>
    <w:rsid w:val="004D6CEA"/>
    <w:rsid w:val="004E0C47"/>
    <w:rsid w:val="004E5716"/>
    <w:rsid w:val="004F2DCE"/>
    <w:rsid w:val="00501AB3"/>
    <w:rsid w:val="00504D7B"/>
    <w:rsid w:val="0050677E"/>
    <w:rsid w:val="00512116"/>
    <w:rsid w:val="005131CC"/>
    <w:rsid w:val="00521519"/>
    <w:rsid w:val="00542A1A"/>
    <w:rsid w:val="00546C59"/>
    <w:rsid w:val="00550097"/>
    <w:rsid w:val="005516D8"/>
    <w:rsid w:val="0055294B"/>
    <w:rsid w:val="00554339"/>
    <w:rsid w:val="00557338"/>
    <w:rsid w:val="00570C9B"/>
    <w:rsid w:val="00590EBC"/>
    <w:rsid w:val="005916BE"/>
    <w:rsid w:val="005942D9"/>
    <w:rsid w:val="005966E3"/>
    <w:rsid w:val="00597BF0"/>
    <w:rsid w:val="005A23E5"/>
    <w:rsid w:val="005A3BCC"/>
    <w:rsid w:val="005A598F"/>
    <w:rsid w:val="005B2E4A"/>
    <w:rsid w:val="005B3434"/>
    <w:rsid w:val="005C0771"/>
    <w:rsid w:val="005C74F9"/>
    <w:rsid w:val="005D142B"/>
    <w:rsid w:val="005D5DBE"/>
    <w:rsid w:val="005D698C"/>
    <w:rsid w:val="005E537B"/>
    <w:rsid w:val="005E5C59"/>
    <w:rsid w:val="005E63FA"/>
    <w:rsid w:val="005E6C6B"/>
    <w:rsid w:val="005E75E5"/>
    <w:rsid w:val="005E789B"/>
    <w:rsid w:val="005F277E"/>
    <w:rsid w:val="005F73EE"/>
    <w:rsid w:val="006020C1"/>
    <w:rsid w:val="00610007"/>
    <w:rsid w:val="00612327"/>
    <w:rsid w:val="00612906"/>
    <w:rsid w:val="00613D69"/>
    <w:rsid w:val="00614184"/>
    <w:rsid w:val="0061660F"/>
    <w:rsid w:val="0062291A"/>
    <w:rsid w:val="00623344"/>
    <w:rsid w:val="00632F8C"/>
    <w:rsid w:val="00634879"/>
    <w:rsid w:val="006427C5"/>
    <w:rsid w:val="00645A23"/>
    <w:rsid w:val="00655058"/>
    <w:rsid w:val="00655782"/>
    <w:rsid w:val="006559FB"/>
    <w:rsid w:val="00655E10"/>
    <w:rsid w:val="006574D3"/>
    <w:rsid w:val="00665976"/>
    <w:rsid w:val="0066739F"/>
    <w:rsid w:val="006761B9"/>
    <w:rsid w:val="006821D2"/>
    <w:rsid w:val="00685182"/>
    <w:rsid w:val="0069187A"/>
    <w:rsid w:val="006A0CF7"/>
    <w:rsid w:val="006B198E"/>
    <w:rsid w:val="006B727A"/>
    <w:rsid w:val="006C7433"/>
    <w:rsid w:val="006D7029"/>
    <w:rsid w:val="006E17F7"/>
    <w:rsid w:val="006E4502"/>
    <w:rsid w:val="006F64F1"/>
    <w:rsid w:val="006F747E"/>
    <w:rsid w:val="007044A1"/>
    <w:rsid w:val="007137D8"/>
    <w:rsid w:val="00721CB5"/>
    <w:rsid w:val="00724F29"/>
    <w:rsid w:val="0073332A"/>
    <w:rsid w:val="00733852"/>
    <w:rsid w:val="0073535A"/>
    <w:rsid w:val="00741AF6"/>
    <w:rsid w:val="007458D1"/>
    <w:rsid w:val="00745C9B"/>
    <w:rsid w:val="0076058B"/>
    <w:rsid w:val="007701F8"/>
    <w:rsid w:val="00774D36"/>
    <w:rsid w:val="007916CB"/>
    <w:rsid w:val="007A10B5"/>
    <w:rsid w:val="007A1CB9"/>
    <w:rsid w:val="007B5C05"/>
    <w:rsid w:val="007D48A1"/>
    <w:rsid w:val="007E1C42"/>
    <w:rsid w:val="007E296C"/>
    <w:rsid w:val="007E7E9A"/>
    <w:rsid w:val="007F02F2"/>
    <w:rsid w:val="007F5CD1"/>
    <w:rsid w:val="007F6CEF"/>
    <w:rsid w:val="008068A8"/>
    <w:rsid w:val="00807228"/>
    <w:rsid w:val="00810484"/>
    <w:rsid w:val="00816C2E"/>
    <w:rsid w:val="008325E2"/>
    <w:rsid w:val="00832FBB"/>
    <w:rsid w:val="00834914"/>
    <w:rsid w:val="00834E90"/>
    <w:rsid w:val="00834F13"/>
    <w:rsid w:val="00835232"/>
    <w:rsid w:val="00843112"/>
    <w:rsid w:val="00851EEA"/>
    <w:rsid w:val="00852582"/>
    <w:rsid w:val="00855450"/>
    <w:rsid w:val="00860C93"/>
    <w:rsid w:val="00861DA4"/>
    <w:rsid w:val="00864DC8"/>
    <w:rsid w:val="008725A3"/>
    <w:rsid w:val="00873575"/>
    <w:rsid w:val="0087401E"/>
    <w:rsid w:val="008A0D96"/>
    <w:rsid w:val="008A186A"/>
    <w:rsid w:val="008A3BEA"/>
    <w:rsid w:val="008A60F1"/>
    <w:rsid w:val="008A73EE"/>
    <w:rsid w:val="008B0D16"/>
    <w:rsid w:val="008D440D"/>
    <w:rsid w:val="008D4CFB"/>
    <w:rsid w:val="008D6120"/>
    <w:rsid w:val="008D7862"/>
    <w:rsid w:val="008E369B"/>
    <w:rsid w:val="008F2014"/>
    <w:rsid w:val="009050E8"/>
    <w:rsid w:val="0090659B"/>
    <w:rsid w:val="00912339"/>
    <w:rsid w:val="00912AC2"/>
    <w:rsid w:val="00926FC6"/>
    <w:rsid w:val="00932B28"/>
    <w:rsid w:val="009344E6"/>
    <w:rsid w:val="00934E7F"/>
    <w:rsid w:val="0093656A"/>
    <w:rsid w:val="00947FFB"/>
    <w:rsid w:val="00954633"/>
    <w:rsid w:val="00974F19"/>
    <w:rsid w:val="009752C1"/>
    <w:rsid w:val="00977B7B"/>
    <w:rsid w:val="0098018E"/>
    <w:rsid w:val="00985C06"/>
    <w:rsid w:val="009922C9"/>
    <w:rsid w:val="00993D6D"/>
    <w:rsid w:val="00995AD9"/>
    <w:rsid w:val="00996192"/>
    <w:rsid w:val="00997D20"/>
    <w:rsid w:val="009A3B2F"/>
    <w:rsid w:val="009A56D7"/>
    <w:rsid w:val="009B2EEE"/>
    <w:rsid w:val="009B652A"/>
    <w:rsid w:val="009E26A8"/>
    <w:rsid w:val="009E45EE"/>
    <w:rsid w:val="009F0E41"/>
    <w:rsid w:val="009F10F6"/>
    <w:rsid w:val="009F3D89"/>
    <w:rsid w:val="009F5EA2"/>
    <w:rsid w:val="00A0289B"/>
    <w:rsid w:val="00A0667B"/>
    <w:rsid w:val="00A114AB"/>
    <w:rsid w:val="00A13763"/>
    <w:rsid w:val="00A2402E"/>
    <w:rsid w:val="00A26D8C"/>
    <w:rsid w:val="00A279DB"/>
    <w:rsid w:val="00A36B0E"/>
    <w:rsid w:val="00A433ED"/>
    <w:rsid w:val="00A47605"/>
    <w:rsid w:val="00A57AAD"/>
    <w:rsid w:val="00A74ACA"/>
    <w:rsid w:val="00A84C5C"/>
    <w:rsid w:val="00A92939"/>
    <w:rsid w:val="00A9547E"/>
    <w:rsid w:val="00AA117F"/>
    <w:rsid w:val="00AA266E"/>
    <w:rsid w:val="00AA71FF"/>
    <w:rsid w:val="00AB36B0"/>
    <w:rsid w:val="00AB4002"/>
    <w:rsid w:val="00AC3FD9"/>
    <w:rsid w:val="00AC4F2F"/>
    <w:rsid w:val="00AC5AAC"/>
    <w:rsid w:val="00AD73B5"/>
    <w:rsid w:val="00AE0AA1"/>
    <w:rsid w:val="00AE127D"/>
    <w:rsid w:val="00AE6124"/>
    <w:rsid w:val="00AF0D94"/>
    <w:rsid w:val="00AF78DC"/>
    <w:rsid w:val="00B01D38"/>
    <w:rsid w:val="00B0328B"/>
    <w:rsid w:val="00B0629A"/>
    <w:rsid w:val="00B10351"/>
    <w:rsid w:val="00B1646D"/>
    <w:rsid w:val="00B16C57"/>
    <w:rsid w:val="00B22282"/>
    <w:rsid w:val="00B25469"/>
    <w:rsid w:val="00B314D2"/>
    <w:rsid w:val="00B3214B"/>
    <w:rsid w:val="00B473B9"/>
    <w:rsid w:val="00B54071"/>
    <w:rsid w:val="00B5631A"/>
    <w:rsid w:val="00B56811"/>
    <w:rsid w:val="00B61BA3"/>
    <w:rsid w:val="00B659A3"/>
    <w:rsid w:val="00B67F11"/>
    <w:rsid w:val="00B73813"/>
    <w:rsid w:val="00B73D4C"/>
    <w:rsid w:val="00B763B9"/>
    <w:rsid w:val="00B841C7"/>
    <w:rsid w:val="00B856A5"/>
    <w:rsid w:val="00BA20CC"/>
    <w:rsid w:val="00BA2F6D"/>
    <w:rsid w:val="00BA5C0D"/>
    <w:rsid w:val="00BB50F2"/>
    <w:rsid w:val="00BB5A0A"/>
    <w:rsid w:val="00BB6D6C"/>
    <w:rsid w:val="00BB760A"/>
    <w:rsid w:val="00BC53E6"/>
    <w:rsid w:val="00BE0563"/>
    <w:rsid w:val="00BE186D"/>
    <w:rsid w:val="00BE22DF"/>
    <w:rsid w:val="00BF2CCA"/>
    <w:rsid w:val="00C014B7"/>
    <w:rsid w:val="00C0374A"/>
    <w:rsid w:val="00C13D2D"/>
    <w:rsid w:val="00C22DDC"/>
    <w:rsid w:val="00C23F62"/>
    <w:rsid w:val="00C30B2B"/>
    <w:rsid w:val="00C350B5"/>
    <w:rsid w:val="00C363AF"/>
    <w:rsid w:val="00C36EBF"/>
    <w:rsid w:val="00C45973"/>
    <w:rsid w:val="00C45B09"/>
    <w:rsid w:val="00C56CEA"/>
    <w:rsid w:val="00C67B32"/>
    <w:rsid w:val="00C74004"/>
    <w:rsid w:val="00C763DD"/>
    <w:rsid w:val="00C9186C"/>
    <w:rsid w:val="00C93767"/>
    <w:rsid w:val="00C94AFD"/>
    <w:rsid w:val="00C94B80"/>
    <w:rsid w:val="00C952C0"/>
    <w:rsid w:val="00C964C1"/>
    <w:rsid w:val="00CA094C"/>
    <w:rsid w:val="00CA1BEE"/>
    <w:rsid w:val="00CA2503"/>
    <w:rsid w:val="00CA3194"/>
    <w:rsid w:val="00CC4BCA"/>
    <w:rsid w:val="00CC72D0"/>
    <w:rsid w:val="00CD0997"/>
    <w:rsid w:val="00CD37A9"/>
    <w:rsid w:val="00CD41B9"/>
    <w:rsid w:val="00CD5652"/>
    <w:rsid w:val="00CD713D"/>
    <w:rsid w:val="00CE7D94"/>
    <w:rsid w:val="00D05E72"/>
    <w:rsid w:val="00D07590"/>
    <w:rsid w:val="00D128E8"/>
    <w:rsid w:val="00D12B54"/>
    <w:rsid w:val="00D135B3"/>
    <w:rsid w:val="00D17B73"/>
    <w:rsid w:val="00D20C9C"/>
    <w:rsid w:val="00D339F2"/>
    <w:rsid w:val="00D426ED"/>
    <w:rsid w:val="00D47E08"/>
    <w:rsid w:val="00D5065D"/>
    <w:rsid w:val="00D605DC"/>
    <w:rsid w:val="00D62E7B"/>
    <w:rsid w:val="00D656B5"/>
    <w:rsid w:val="00D66DDD"/>
    <w:rsid w:val="00D72EFD"/>
    <w:rsid w:val="00D74280"/>
    <w:rsid w:val="00D82D25"/>
    <w:rsid w:val="00D8705D"/>
    <w:rsid w:val="00D87F9C"/>
    <w:rsid w:val="00D95CB6"/>
    <w:rsid w:val="00D96DBC"/>
    <w:rsid w:val="00DA2845"/>
    <w:rsid w:val="00DA45F3"/>
    <w:rsid w:val="00DB33C7"/>
    <w:rsid w:val="00DC3EA2"/>
    <w:rsid w:val="00DD514F"/>
    <w:rsid w:val="00DE1F35"/>
    <w:rsid w:val="00DE4509"/>
    <w:rsid w:val="00DE78ED"/>
    <w:rsid w:val="00DF04A1"/>
    <w:rsid w:val="00E146A0"/>
    <w:rsid w:val="00E2262F"/>
    <w:rsid w:val="00E30339"/>
    <w:rsid w:val="00E30D97"/>
    <w:rsid w:val="00E37328"/>
    <w:rsid w:val="00E40B16"/>
    <w:rsid w:val="00E55436"/>
    <w:rsid w:val="00E56394"/>
    <w:rsid w:val="00E61C2F"/>
    <w:rsid w:val="00E62AA9"/>
    <w:rsid w:val="00E67E86"/>
    <w:rsid w:val="00E73732"/>
    <w:rsid w:val="00E92B0E"/>
    <w:rsid w:val="00EA15FB"/>
    <w:rsid w:val="00EA2879"/>
    <w:rsid w:val="00EA4A93"/>
    <w:rsid w:val="00EB4053"/>
    <w:rsid w:val="00EB58DC"/>
    <w:rsid w:val="00EC4ABD"/>
    <w:rsid w:val="00ED3B3D"/>
    <w:rsid w:val="00ED3D1B"/>
    <w:rsid w:val="00EE27F0"/>
    <w:rsid w:val="00EE5DE3"/>
    <w:rsid w:val="00EE6399"/>
    <w:rsid w:val="00EF426E"/>
    <w:rsid w:val="00EF7D2B"/>
    <w:rsid w:val="00F02F67"/>
    <w:rsid w:val="00F0703C"/>
    <w:rsid w:val="00F253D2"/>
    <w:rsid w:val="00F26426"/>
    <w:rsid w:val="00F32DF2"/>
    <w:rsid w:val="00F354FB"/>
    <w:rsid w:val="00F3681C"/>
    <w:rsid w:val="00F373CA"/>
    <w:rsid w:val="00F454C7"/>
    <w:rsid w:val="00F46510"/>
    <w:rsid w:val="00F50C18"/>
    <w:rsid w:val="00F538A3"/>
    <w:rsid w:val="00F5553B"/>
    <w:rsid w:val="00F57C89"/>
    <w:rsid w:val="00F60952"/>
    <w:rsid w:val="00F624A3"/>
    <w:rsid w:val="00F630B3"/>
    <w:rsid w:val="00F66359"/>
    <w:rsid w:val="00F666E0"/>
    <w:rsid w:val="00F71676"/>
    <w:rsid w:val="00F8343E"/>
    <w:rsid w:val="00F87583"/>
    <w:rsid w:val="00F90C3C"/>
    <w:rsid w:val="00FA0394"/>
    <w:rsid w:val="00FA4BEE"/>
    <w:rsid w:val="00FA7E0A"/>
    <w:rsid w:val="00FB0E84"/>
    <w:rsid w:val="00FB310D"/>
    <w:rsid w:val="00FB4C1C"/>
    <w:rsid w:val="00FB4D27"/>
    <w:rsid w:val="00FC025D"/>
    <w:rsid w:val="00FC4604"/>
    <w:rsid w:val="00FD0397"/>
    <w:rsid w:val="00FD189D"/>
    <w:rsid w:val="00FD6492"/>
    <w:rsid w:val="00FE12DD"/>
    <w:rsid w:val="00FE6CFF"/>
    <w:rsid w:val="00FE6DDB"/>
    <w:rsid w:val="00FF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1"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214B"/>
    <w:rPr>
      <w:sz w:val="24"/>
      <w:szCs w:val="24"/>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1CharChar1CharCharCharChar1">
    <w:name w:val="Char1 Char Char1 Char Char Char Char1"/>
    <w:basedOn w:val="a0"/>
    <w:rsid w:val="00E73732"/>
    <w:pPr>
      <w:tabs>
        <w:tab w:val="left" w:pos="709"/>
      </w:tabs>
      <w:spacing w:line="360" w:lineRule="auto"/>
    </w:pPr>
    <w:rPr>
      <w:rFonts w:ascii="Tahoma" w:hAnsi="Tahoma"/>
      <w:lang w:val="pl-PL" w:eastAsia="pl-PL"/>
    </w:rPr>
  </w:style>
  <w:style w:type="character" w:customStyle="1" w:styleId="desi">
    <w:name w:val="desi"/>
    <w:semiHidden/>
    <w:rsid w:val="00E73732"/>
    <w:rPr>
      <w:rFonts w:ascii="Arial" w:hAnsi="Arial" w:cs="Arial"/>
      <w:color w:val="000080"/>
      <w:sz w:val="20"/>
      <w:szCs w:val="20"/>
    </w:rPr>
  </w:style>
  <w:style w:type="paragraph" w:styleId="a4">
    <w:name w:val="footer"/>
    <w:basedOn w:val="a0"/>
    <w:rsid w:val="00E73732"/>
    <w:pPr>
      <w:tabs>
        <w:tab w:val="center" w:pos="4536"/>
        <w:tab w:val="right" w:pos="9072"/>
      </w:tabs>
    </w:pPr>
  </w:style>
  <w:style w:type="character" w:styleId="a5">
    <w:name w:val="page number"/>
    <w:basedOn w:val="a1"/>
    <w:rsid w:val="00E73732"/>
  </w:style>
  <w:style w:type="paragraph" w:customStyle="1" w:styleId="Style">
    <w:name w:val="Style"/>
    <w:rsid w:val="00D96DBC"/>
    <w:pPr>
      <w:widowControl w:val="0"/>
      <w:autoSpaceDE w:val="0"/>
      <w:autoSpaceDN w:val="0"/>
      <w:adjustRightInd w:val="0"/>
      <w:ind w:left="140" w:right="140" w:firstLine="840"/>
      <w:jc w:val="both"/>
    </w:pPr>
    <w:rPr>
      <w:sz w:val="24"/>
      <w:szCs w:val="24"/>
      <w:lang w:val="bg-BG" w:eastAsia="bg-BG"/>
    </w:rPr>
  </w:style>
  <w:style w:type="paragraph" w:styleId="a6">
    <w:name w:val="footnote text"/>
    <w:aliases w:val="Fußnotentext arial,fn,Schriftart: 9 pt,Schriftart: 10 pt,Schriftart: 8 pt,WB-Fußnotentext,Fu?notentext arial,Sprotna opomba - besedilo Znak1,Sprotna opomba - besedilo Znak Znak2,Sprotna opomba - besedilo Znak1 Znak Znak1"/>
    <w:basedOn w:val="a0"/>
    <w:link w:val="a7"/>
    <w:semiHidden/>
    <w:rsid w:val="00632F8C"/>
    <w:pPr>
      <w:suppressAutoHyphens/>
      <w:jc w:val="both"/>
    </w:pPr>
    <w:rPr>
      <w:rFonts w:eastAsia="Calibri" w:cs="Arial"/>
      <w:sz w:val="20"/>
      <w:szCs w:val="20"/>
      <w:lang w:val="en-GB" w:eastAsia="ar-SA"/>
    </w:rPr>
  </w:style>
  <w:style w:type="character" w:customStyle="1" w:styleId="a7">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6"/>
    <w:semiHidden/>
    <w:locked/>
    <w:rsid w:val="00632F8C"/>
    <w:rPr>
      <w:rFonts w:eastAsia="Calibri" w:cs="Arial"/>
      <w:lang w:val="en-GB" w:eastAsia="ar-SA" w:bidi="ar-SA"/>
    </w:rPr>
  </w:style>
  <w:style w:type="character" w:styleId="a8">
    <w:name w:val="footnote reference"/>
    <w:semiHidden/>
    <w:rsid w:val="00632F8C"/>
    <w:rPr>
      <w:rFonts w:cs="Times New Roman"/>
      <w:vertAlign w:val="superscript"/>
    </w:rPr>
  </w:style>
  <w:style w:type="paragraph" w:styleId="a9">
    <w:name w:val="Balloon Text"/>
    <w:basedOn w:val="a0"/>
    <w:semiHidden/>
    <w:rsid w:val="00632F8C"/>
    <w:rPr>
      <w:rFonts w:ascii="Tahoma" w:hAnsi="Tahoma" w:cs="Tahoma"/>
      <w:sz w:val="16"/>
      <w:szCs w:val="16"/>
    </w:rPr>
  </w:style>
  <w:style w:type="paragraph" w:customStyle="1" w:styleId="1">
    <w:name w:val="Знак Знак1"/>
    <w:basedOn w:val="a0"/>
    <w:rsid w:val="008B0D16"/>
    <w:rPr>
      <w:rFonts w:ascii="Hebar" w:hAnsi="Hebar"/>
      <w:szCs w:val="20"/>
      <w:lang w:val="pl-PL" w:eastAsia="pl-PL"/>
    </w:rPr>
  </w:style>
  <w:style w:type="paragraph" w:customStyle="1" w:styleId="CharCharChar">
    <w:name w:val="Char Знак Знак Знак Char Char Знак"/>
    <w:basedOn w:val="a0"/>
    <w:rsid w:val="00852582"/>
    <w:pPr>
      <w:tabs>
        <w:tab w:val="left" w:pos="709"/>
      </w:tabs>
    </w:pPr>
    <w:rPr>
      <w:rFonts w:ascii="Tahoma" w:hAnsi="Tahoma"/>
      <w:lang w:val="pl-PL" w:eastAsia="pl-PL"/>
    </w:rPr>
  </w:style>
  <w:style w:type="paragraph" w:styleId="aa">
    <w:name w:val="Body Text"/>
    <w:basedOn w:val="a0"/>
    <w:link w:val="ab"/>
    <w:rsid w:val="00CA3194"/>
    <w:pPr>
      <w:jc w:val="center"/>
    </w:pPr>
    <w:rPr>
      <w:b/>
      <w:sz w:val="28"/>
      <w:szCs w:val="20"/>
    </w:rPr>
  </w:style>
  <w:style w:type="character" w:customStyle="1" w:styleId="ab">
    <w:name w:val="Основен текст Знак"/>
    <w:link w:val="aa"/>
    <w:rsid w:val="00CA3194"/>
    <w:rPr>
      <w:b/>
      <w:sz w:val="28"/>
    </w:rPr>
  </w:style>
  <w:style w:type="paragraph" w:styleId="ac">
    <w:name w:val="List Paragraph"/>
    <w:basedOn w:val="a0"/>
    <w:uiPriority w:val="34"/>
    <w:qFormat/>
    <w:rsid w:val="00977B7B"/>
    <w:pPr>
      <w:ind w:left="708"/>
    </w:pPr>
  </w:style>
  <w:style w:type="paragraph" w:customStyle="1" w:styleId="msolistparagraph0">
    <w:name w:val="msolistparagraph"/>
    <w:basedOn w:val="a0"/>
    <w:rsid w:val="008D4CFB"/>
    <w:pPr>
      <w:ind w:left="720"/>
    </w:pPr>
    <w:rPr>
      <w:rFonts w:ascii="Times New Roman Bold" w:hAnsi="Times New Roman Bold"/>
      <w:b/>
      <w:bCs/>
      <w:smallCaps/>
    </w:rPr>
  </w:style>
  <w:style w:type="character" w:customStyle="1" w:styleId="ad">
    <w:name w:val="Обикновен текст Знак"/>
    <w:link w:val="ae"/>
    <w:rsid w:val="005C74F9"/>
    <w:rPr>
      <w:rFonts w:ascii="Consolas" w:hAnsi="Consolas"/>
      <w:b/>
      <w:bCs/>
      <w:smallCaps/>
      <w:lang w:bidi="ar-SA"/>
    </w:rPr>
  </w:style>
  <w:style w:type="paragraph" w:styleId="ae">
    <w:name w:val="Plain Text"/>
    <w:basedOn w:val="a0"/>
    <w:link w:val="ad"/>
    <w:rsid w:val="005C74F9"/>
    <w:rPr>
      <w:rFonts w:ascii="Consolas" w:hAnsi="Consolas"/>
      <w:b/>
      <w:bCs/>
      <w:smallCaps/>
      <w:sz w:val="20"/>
      <w:szCs w:val="20"/>
      <w:lang w:val="en-US" w:eastAsia="en-US"/>
    </w:rPr>
  </w:style>
  <w:style w:type="paragraph" w:styleId="af">
    <w:name w:val="Normal (Web)"/>
    <w:basedOn w:val="a0"/>
    <w:rsid w:val="00CD713D"/>
    <w:pPr>
      <w:spacing w:before="100" w:beforeAutospacing="1" w:after="100" w:afterAutospacing="1"/>
    </w:pPr>
  </w:style>
  <w:style w:type="character" w:styleId="af0">
    <w:name w:val="annotation reference"/>
    <w:rsid w:val="00D8705D"/>
    <w:rPr>
      <w:sz w:val="16"/>
      <w:szCs w:val="16"/>
    </w:rPr>
  </w:style>
  <w:style w:type="paragraph" w:styleId="af1">
    <w:name w:val="annotation text"/>
    <w:basedOn w:val="a0"/>
    <w:link w:val="af2"/>
    <w:rsid w:val="00D8705D"/>
    <w:rPr>
      <w:sz w:val="20"/>
      <w:szCs w:val="20"/>
    </w:rPr>
  </w:style>
  <w:style w:type="character" w:customStyle="1" w:styleId="af2">
    <w:name w:val="Текст на коментар Знак"/>
    <w:basedOn w:val="a1"/>
    <w:link w:val="af1"/>
    <w:rsid w:val="00D8705D"/>
  </w:style>
  <w:style w:type="paragraph" w:styleId="af3">
    <w:name w:val="annotation subject"/>
    <w:basedOn w:val="af1"/>
    <w:next w:val="af1"/>
    <w:link w:val="af4"/>
    <w:rsid w:val="00D8705D"/>
    <w:rPr>
      <w:b/>
      <w:bCs/>
    </w:rPr>
  </w:style>
  <w:style w:type="character" w:customStyle="1" w:styleId="af4">
    <w:name w:val="Предмет на коментар Знак"/>
    <w:link w:val="af3"/>
    <w:rsid w:val="00D8705D"/>
    <w:rPr>
      <w:b/>
      <w:bCs/>
    </w:rPr>
  </w:style>
  <w:style w:type="table" w:styleId="af5">
    <w:name w:val="Table Grid"/>
    <w:basedOn w:val="a2"/>
    <w:rsid w:val="00055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1"/>
    <w:unhideWhenUsed/>
    <w:qFormat/>
    <w:rsid w:val="00F87583"/>
    <w:pPr>
      <w:numPr>
        <w:numId w:val="1"/>
      </w:numPr>
      <w:spacing w:after="200" w:line="276" w:lineRule="auto"/>
      <w:contextualSpacing/>
    </w:pPr>
    <w:rPr>
      <w:rFonts w:ascii="Calibri" w:eastAsia="Calibri" w:hAnsi="Calibri"/>
      <w:sz w:val="20"/>
      <w:szCs w:val="20"/>
      <w:lang w:val="en-US" w:eastAsia="en-US"/>
    </w:rPr>
  </w:style>
  <w:style w:type="paragraph" w:customStyle="1" w:styleId="Default">
    <w:name w:val="Default"/>
    <w:rsid w:val="006821D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821D2"/>
    <w:rPr>
      <w:rFonts w:cs="Times New Roman"/>
      <w:color w:val="auto"/>
    </w:rPr>
  </w:style>
  <w:style w:type="paragraph" w:customStyle="1" w:styleId="CM3">
    <w:name w:val="CM3"/>
    <w:basedOn w:val="Default"/>
    <w:next w:val="Default"/>
    <w:uiPriority w:val="99"/>
    <w:rsid w:val="006821D2"/>
    <w:rPr>
      <w:rFonts w:cs="Times New Roman"/>
      <w:color w:val="auto"/>
    </w:rPr>
  </w:style>
  <w:style w:type="paragraph" w:styleId="af6">
    <w:name w:val="header"/>
    <w:basedOn w:val="a0"/>
    <w:link w:val="af7"/>
    <w:rsid w:val="00B73D4C"/>
    <w:pPr>
      <w:tabs>
        <w:tab w:val="center" w:pos="4703"/>
        <w:tab w:val="right" w:pos="9406"/>
      </w:tabs>
    </w:pPr>
  </w:style>
  <w:style w:type="character" w:customStyle="1" w:styleId="af7">
    <w:name w:val="Горен колонтитул Знак"/>
    <w:link w:val="af6"/>
    <w:rsid w:val="00B73D4C"/>
    <w:rPr>
      <w:sz w:val="24"/>
      <w:szCs w:val="24"/>
      <w:lang w:val="bg-BG" w:eastAsia="bg-BG"/>
    </w:rPr>
  </w:style>
  <w:style w:type="table" w:customStyle="1" w:styleId="TableGrid1">
    <w:name w:val="Table Grid1"/>
    <w:basedOn w:val="a2"/>
    <w:next w:val="af5"/>
    <w:uiPriority w:val="59"/>
    <w:rsid w:val="0055294B"/>
    <w:rPr>
      <w:rFonts w:ascii="Calibri" w:hAnsi="Calibri"/>
      <w:sz w:val="22"/>
      <w:szCs w:val="22"/>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5"/>
    <w:uiPriority w:val="39"/>
    <w:rsid w:val="00612327"/>
    <w:rPr>
      <w:rFonts w:ascii="Calibri" w:eastAsia="Calibri" w:hAnsi="Calibri"/>
      <w:sz w:val="22"/>
      <w:szCs w:val="22"/>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1"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214B"/>
    <w:rPr>
      <w:sz w:val="24"/>
      <w:szCs w:val="24"/>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1CharChar1CharCharCharChar1">
    <w:name w:val="Char1 Char Char1 Char Char Char Char1"/>
    <w:basedOn w:val="a0"/>
    <w:rsid w:val="00E73732"/>
    <w:pPr>
      <w:tabs>
        <w:tab w:val="left" w:pos="709"/>
      </w:tabs>
      <w:spacing w:line="360" w:lineRule="auto"/>
    </w:pPr>
    <w:rPr>
      <w:rFonts w:ascii="Tahoma" w:hAnsi="Tahoma"/>
      <w:lang w:val="pl-PL" w:eastAsia="pl-PL"/>
    </w:rPr>
  </w:style>
  <w:style w:type="character" w:customStyle="1" w:styleId="desi">
    <w:name w:val="desi"/>
    <w:semiHidden/>
    <w:rsid w:val="00E73732"/>
    <w:rPr>
      <w:rFonts w:ascii="Arial" w:hAnsi="Arial" w:cs="Arial"/>
      <w:color w:val="000080"/>
      <w:sz w:val="20"/>
      <w:szCs w:val="20"/>
    </w:rPr>
  </w:style>
  <w:style w:type="paragraph" w:styleId="a4">
    <w:name w:val="footer"/>
    <w:basedOn w:val="a0"/>
    <w:rsid w:val="00E73732"/>
    <w:pPr>
      <w:tabs>
        <w:tab w:val="center" w:pos="4536"/>
        <w:tab w:val="right" w:pos="9072"/>
      </w:tabs>
    </w:pPr>
  </w:style>
  <w:style w:type="character" w:styleId="a5">
    <w:name w:val="page number"/>
    <w:basedOn w:val="a1"/>
    <w:rsid w:val="00E73732"/>
  </w:style>
  <w:style w:type="paragraph" w:customStyle="1" w:styleId="Style">
    <w:name w:val="Style"/>
    <w:rsid w:val="00D96DBC"/>
    <w:pPr>
      <w:widowControl w:val="0"/>
      <w:autoSpaceDE w:val="0"/>
      <w:autoSpaceDN w:val="0"/>
      <w:adjustRightInd w:val="0"/>
      <w:ind w:left="140" w:right="140" w:firstLine="840"/>
      <w:jc w:val="both"/>
    </w:pPr>
    <w:rPr>
      <w:sz w:val="24"/>
      <w:szCs w:val="24"/>
      <w:lang w:val="bg-BG" w:eastAsia="bg-BG"/>
    </w:rPr>
  </w:style>
  <w:style w:type="paragraph" w:styleId="a6">
    <w:name w:val="footnote text"/>
    <w:aliases w:val="Fußnotentext arial,fn,Schriftart: 9 pt,Schriftart: 10 pt,Schriftart: 8 pt,WB-Fußnotentext,Fu?notentext arial,Sprotna opomba - besedilo Znak1,Sprotna opomba - besedilo Znak Znak2,Sprotna opomba - besedilo Znak1 Znak Znak1"/>
    <w:basedOn w:val="a0"/>
    <w:link w:val="a7"/>
    <w:semiHidden/>
    <w:rsid w:val="00632F8C"/>
    <w:pPr>
      <w:suppressAutoHyphens/>
      <w:jc w:val="both"/>
    </w:pPr>
    <w:rPr>
      <w:rFonts w:eastAsia="Calibri" w:cs="Arial"/>
      <w:sz w:val="20"/>
      <w:szCs w:val="20"/>
      <w:lang w:val="en-GB" w:eastAsia="ar-SA"/>
    </w:rPr>
  </w:style>
  <w:style w:type="character" w:customStyle="1" w:styleId="a7">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6"/>
    <w:semiHidden/>
    <w:locked/>
    <w:rsid w:val="00632F8C"/>
    <w:rPr>
      <w:rFonts w:eastAsia="Calibri" w:cs="Arial"/>
      <w:lang w:val="en-GB" w:eastAsia="ar-SA" w:bidi="ar-SA"/>
    </w:rPr>
  </w:style>
  <w:style w:type="character" w:styleId="a8">
    <w:name w:val="footnote reference"/>
    <w:semiHidden/>
    <w:rsid w:val="00632F8C"/>
    <w:rPr>
      <w:rFonts w:cs="Times New Roman"/>
      <w:vertAlign w:val="superscript"/>
    </w:rPr>
  </w:style>
  <w:style w:type="paragraph" w:styleId="a9">
    <w:name w:val="Balloon Text"/>
    <w:basedOn w:val="a0"/>
    <w:semiHidden/>
    <w:rsid w:val="00632F8C"/>
    <w:rPr>
      <w:rFonts w:ascii="Tahoma" w:hAnsi="Tahoma" w:cs="Tahoma"/>
      <w:sz w:val="16"/>
      <w:szCs w:val="16"/>
    </w:rPr>
  </w:style>
  <w:style w:type="paragraph" w:customStyle="1" w:styleId="1">
    <w:name w:val="Знак Знак1"/>
    <w:basedOn w:val="a0"/>
    <w:rsid w:val="008B0D16"/>
    <w:rPr>
      <w:rFonts w:ascii="Hebar" w:hAnsi="Hebar"/>
      <w:szCs w:val="20"/>
      <w:lang w:val="pl-PL" w:eastAsia="pl-PL"/>
    </w:rPr>
  </w:style>
  <w:style w:type="paragraph" w:customStyle="1" w:styleId="CharCharChar">
    <w:name w:val="Char Знак Знак Знак Char Char Знак"/>
    <w:basedOn w:val="a0"/>
    <w:rsid w:val="00852582"/>
    <w:pPr>
      <w:tabs>
        <w:tab w:val="left" w:pos="709"/>
      </w:tabs>
    </w:pPr>
    <w:rPr>
      <w:rFonts w:ascii="Tahoma" w:hAnsi="Tahoma"/>
      <w:lang w:val="pl-PL" w:eastAsia="pl-PL"/>
    </w:rPr>
  </w:style>
  <w:style w:type="paragraph" w:styleId="aa">
    <w:name w:val="Body Text"/>
    <w:basedOn w:val="a0"/>
    <w:link w:val="ab"/>
    <w:rsid w:val="00CA3194"/>
    <w:pPr>
      <w:jc w:val="center"/>
    </w:pPr>
    <w:rPr>
      <w:b/>
      <w:sz w:val="28"/>
      <w:szCs w:val="20"/>
    </w:rPr>
  </w:style>
  <w:style w:type="character" w:customStyle="1" w:styleId="ab">
    <w:name w:val="Основен текст Знак"/>
    <w:link w:val="aa"/>
    <w:rsid w:val="00CA3194"/>
    <w:rPr>
      <w:b/>
      <w:sz w:val="28"/>
    </w:rPr>
  </w:style>
  <w:style w:type="paragraph" w:styleId="ac">
    <w:name w:val="List Paragraph"/>
    <w:basedOn w:val="a0"/>
    <w:uiPriority w:val="34"/>
    <w:qFormat/>
    <w:rsid w:val="00977B7B"/>
    <w:pPr>
      <w:ind w:left="708"/>
    </w:pPr>
  </w:style>
  <w:style w:type="paragraph" w:customStyle="1" w:styleId="msolistparagraph0">
    <w:name w:val="msolistparagraph"/>
    <w:basedOn w:val="a0"/>
    <w:rsid w:val="008D4CFB"/>
    <w:pPr>
      <w:ind w:left="720"/>
    </w:pPr>
    <w:rPr>
      <w:rFonts w:ascii="Times New Roman Bold" w:hAnsi="Times New Roman Bold"/>
      <w:b/>
      <w:bCs/>
      <w:smallCaps/>
    </w:rPr>
  </w:style>
  <w:style w:type="character" w:customStyle="1" w:styleId="ad">
    <w:name w:val="Обикновен текст Знак"/>
    <w:link w:val="ae"/>
    <w:rsid w:val="005C74F9"/>
    <w:rPr>
      <w:rFonts w:ascii="Consolas" w:hAnsi="Consolas"/>
      <w:b/>
      <w:bCs/>
      <w:smallCaps/>
      <w:lang w:bidi="ar-SA"/>
    </w:rPr>
  </w:style>
  <w:style w:type="paragraph" w:styleId="ae">
    <w:name w:val="Plain Text"/>
    <w:basedOn w:val="a0"/>
    <w:link w:val="ad"/>
    <w:rsid w:val="005C74F9"/>
    <w:rPr>
      <w:rFonts w:ascii="Consolas" w:hAnsi="Consolas"/>
      <w:b/>
      <w:bCs/>
      <w:smallCaps/>
      <w:sz w:val="20"/>
      <w:szCs w:val="20"/>
      <w:lang w:val="en-US" w:eastAsia="en-US"/>
    </w:rPr>
  </w:style>
  <w:style w:type="paragraph" w:styleId="af">
    <w:name w:val="Normal (Web)"/>
    <w:basedOn w:val="a0"/>
    <w:rsid w:val="00CD713D"/>
    <w:pPr>
      <w:spacing w:before="100" w:beforeAutospacing="1" w:after="100" w:afterAutospacing="1"/>
    </w:pPr>
  </w:style>
  <w:style w:type="character" w:styleId="af0">
    <w:name w:val="annotation reference"/>
    <w:rsid w:val="00D8705D"/>
    <w:rPr>
      <w:sz w:val="16"/>
      <w:szCs w:val="16"/>
    </w:rPr>
  </w:style>
  <w:style w:type="paragraph" w:styleId="af1">
    <w:name w:val="annotation text"/>
    <w:basedOn w:val="a0"/>
    <w:link w:val="af2"/>
    <w:rsid w:val="00D8705D"/>
    <w:rPr>
      <w:sz w:val="20"/>
      <w:szCs w:val="20"/>
    </w:rPr>
  </w:style>
  <w:style w:type="character" w:customStyle="1" w:styleId="af2">
    <w:name w:val="Текст на коментар Знак"/>
    <w:basedOn w:val="a1"/>
    <w:link w:val="af1"/>
    <w:rsid w:val="00D8705D"/>
  </w:style>
  <w:style w:type="paragraph" w:styleId="af3">
    <w:name w:val="annotation subject"/>
    <w:basedOn w:val="af1"/>
    <w:next w:val="af1"/>
    <w:link w:val="af4"/>
    <w:rsid w:val="00D8705D"/>
    <w:rPr>
      <w:b/>
      <w:bCs/>
    </w:rPr>
  </w:style>
  <w:style w:type="character" w:customStyle="1" w:styleId="af4">
    <w:name w:val="Предмет на коментар Знак"/>
    <w:link w:val="af3"/>
    <w:rsid w:val="00D8705D"/>
    <w:rPr>
      <w:b/>
      <w:bCs/>
    </w:rPr>
  </w:style>
  <w:style w:type="table" w:styleId="af5">
    <w:name w:val="Table Grid"/>
    <w:basedOn w:val="a2"/>
    <w:rsid w:val="00055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1"/>
    <w:unhideWhenUsed/>
    <w:qFormat/>
    <w:rsid w:val="00F87583"/>
    <w:pPr>
      <w:numPr>
        <w:numId w:val="1"/>
      </w:numPr>
      <w:spacing w:after="200" w:line="276" w:lineRule="auto"/>
      <w:contextualSpacing/>
    </w:pPr>
    <w:rPr>
      <w:rFonts w:ascii="Calibri" w:eastAsia="Calibri" w:hAnsi="Calibri"/>
      <w:sz w:val="20"/>
      <w:szCs w:val="20"/>
      <w:lang w:val="en-US" w:eastAsia="en-US"/>
    </w:rPr>
  </w:style>
  <w:style w:type="paragraph" w:customStyle="1" w:styleId="Default">
    <w:name w:val="Default"/>
    <w:rsid w:val="006821D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821D2"/>
    <w:rPr>
      <w:rFonts w:cs="Times New Roman"/>
      <w:color w:val="auto"/>
    </w:rPr>
  </w:style>
  <w:style w:type="paragraph" w:customStyle="1" w:styleId="CM3">
    <w:name w:val="CM3"/>
    <w:basedOn w:val="Default"/>
    <w:next w:val="Default"/>
    <w:uiPriority w:val="99"/>
    <w:rsid w:val="006821D2"/>
    <w:rPr>
      <w:rFonts w:cs="Times New Roman"/>
      <w:color w:val="auto"/>
    </w:rPr>
  </w:style>
  <w:style w:type="paragraph" w:styleId="af6">
    <w:name w:val="header"/>
    <w:basedOn w:val="a0"/>
    <w:link w:val="af7"/>
    <w:rsid w:val="00B73D4C"/>
    <w:pPr>
      <w:tabs>
        <w:tab w:val="center" w:pos="4703"/>
        <w:tab w:val="right" w:pos="9406"/>
      </w:tabs>
    </w:pPr>
  </w:style>
  <w:style w:type="character" w:customStyle="1" w:styleId="af7">
    <w:name w:val="Горен колонтитул Знак"/>
    <w:link w:val="af6"/>
    <w:rsid w:val="00B73D4C"/>
    <w:rPr>
      <w:sz w:val="24"/>
      <w:szCs w:val="24"/>
      <w:lang w:val="bg-BG" w:eastAsia="bg-BG"/>
    </w:rPr>
  </w:style>
  <w:style w:type="table" w:customStyle="1" w:styleId="TableGrid1">
    <w:name w:val="Table Grid1"/>
    <w:basedOn w:val="a2"/>
    <w:next w:val="af5"/>
    <w:uiPriority w:val="59"/>
    <w:rsid w:val="0055294B"/>
    <w:rPr>
      <w:rFonts w:ascii="Calibri" w:hAnsi="Calibri"/>
      <w:sz w:val="22"/>
      <w:szCs w:val="22"/>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5"/>
    <w:uiPriority w:val="39"/>
    <w:rsid w:val="00612327"/>
    <w:rPr>
      <w:rFonts w:ascii="Calibri" w:eastAsia="Calibri" w:hAnsi="Calibri"/>
      <w:sz w:val="22"/>
      <w:szCs w:val="22"/>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87">
      <w:bodyDiv w:val="1"/>
      <w:marLeft w:val="0"/>
      <w:marRight w:val="0"/>
      <w:marTop w:val="0"/>
      <w:marBottom w:val="0"/>
      <w:divBdr>
        <w:top w:val="none" w:sz="0" w:space="0" w:color="auto"/>
        <w:left w:val="none" w:sz="0" w:space="0" w:color="auto"/>
        <w:bottom w:val="none" w:sz="0" w:space="0" w:color="auto"/>
        <w:right w:val="none" w:sz="0" w:space="0" w:color="auto"/>
      </w:divBdr>
    </w:div>
    <w:div w:id="136383091">
      <w:bodyDiv w:val="1"/>
      <w:marLeft w:val="150"/>
      <w:marRight w:val="150"/>
      <w:marTop w:val="150"/>
      <w:marBottom w:val="150"/>
      <w:divBdr>
        <w:top w:val="none" w:sz="0" w:space="0" w:color="auto"/>
        <w:left w:val="none" w:sz="0" w:space="0" w:color="auto"/>
        <w:bottom w:val="none" w:sz="0" w:space="0" w:color="auto"/>
        <w:right w:val="none" w:sz="0" w:space="0" w:color="auto"/>
      </w:divBdr>
    </w:div>
    <w:div w:id="189299954">
      <w:bodyDiv w:val="1"/>
      <w:marLeft w:val="0"/>
      <w:marRight w:val="0"/>
      <w:marTop w:val="0"/>
      <w:marBottom w:val="0"/>
      <w:divBdr>
        <w:top w:val="none" w:sz="0" w:space="0" w:color="auto"/>
        <w:left w:val="none" w:sz="0" w:space="0" w:color="auto"/>
        <w:bottom w:val="none" w:sz="0" w:space="0" w:color="auto"/>
        <w:right w:val="none" w:sz="0" w:space="0" w:color="auto"/>
      </w:divBdr>
    </w:div>
    <w:div w:id="407120703">
      <w:bodyDiv w:val="1"/>
      <w:marLeft w:val="0"/>
      <w:marRight w:val="0"/>
      <w:marTop w:val="0"/>
      <w:marBottom w:val="0"/>
      <w:divBdr>
        <w:top w:val="none" w:sz="0" w:space="0" w:color="auto"/>
        <w:left w:val="none" w:sz="0" w:space="0" w:color="auto"/>
        <w:bottom w:val="none" w:sz="0" w:space="0" w:color="auto"/>
        <w:right w:val="none" w:sz="0" w:space="0" w:color="auto"/>
      </w:divBdr>
    </w:div>
    <w:div w:id="421268772">
      <w:bodyDiv w:val="1"/>
      <w:marLeft w:val="0"/>
      <w:marRight w:val="0"/>
      <w:marTop w:val="0"/>
      <w:marBottom w:val="0"/>
      <w:divBdr>
        <w:top w:val="none" w:sz="0" w:space="0" w:color="auto"/>
        <w:left w:val="none" w:sz="0" w:space="0" w:color="auto"/>
        <w:bottom w:val="none" w:sz="0" w:space="0" w:color="auto"/>
        <w:right w:val="none" w:sz="0" w:space="0" w:color="auto"/>
      </w:divBdr>
    </w:div>
    <w:div w:id="441610975">
      <w:bodyDiv w:val="1"/>
      <w:marLeft w:val="0"/>
      <w:marRight w:val="0"/>
      <w:marTop w:val="0"/>
      <w:marBottom w:val="0"/>
      <w:divBdr>
        <w:top w:val="none" w:sz="0" w:space="0" w:color="auto"/>
        <w:left w:val="none" w:sz="0" w:space="0" w:color="auto"/>
        <w:bottom w:val="none" w:sz="0" w:space="0" w:color="auto"/>
        <w:right w:val="none" w:sz="0" w:space="0" w:color="auto"/>
      </w:divBdr>
    </w:div>
    <w:div w:id="547650817">
      <w:bodyDiv w:val="1"/>
      <w:marLeft w:val="0"/>
      <w:marRight w:val="0"/>
      <w:marTop w:val="0"/>
      <w:marBottom w:val="0"/>
      <w:divBdr>
        <w:top w:val="none" w:sz="0" w:space="0" w:color="auto"/>
        <w:left w:val="none" w:sz="0" w:space="0" w:color="auto"/>
        <w:bottom w:val="none" w:sz="0" w:space="0" w:color="auto"/>
        <w:right w:val="none" w:sz="0" w:space="0" w:color="auto"/>
      </w:divBdr>
    </w:div>
    <w:div w:id="550194825">
      <w:bodyDiv w:val="1"/>
      <w:marLeft w:val="0"/>
      <w:marRight w:val="0"/>
      <w:marTop w:val="0"/>
      <w:marBottom w:val="0"/>
      <w:divBdr>
        <w:top w:val="none" w:sz="0" w:space="0" w:color="auto"/>
        <w:left w:val="none" w:sz="0" w:space="0" w:color="auto"/>
        <w:bottom w:val="none" w:sz="0" w:space="0" w:color="auto"/>
        <w:right w:val="none" w:sz="0" w:space="0" w:color="auto"/>
      </w:divBdr>
      <w:divsChild>
        <w:div w:id="597519972">
          <w:marLeft w:val="0"/>
          <w:marRight w:val="0"/>
          <w:marTop w:val="0"/>
          <w:marBottom w:val="0"/>
          <w:divBdr>
            <w:top w:val="none" w:sz="0" w:space="0" w:color="auto"/>
            <w:left w:val="none" w:sz="0" w:space="0" w:color="auto"/>
            <w:bottom w:val="none" w:sz="0" w:space="0" w:color="auto"/>
            <w:right w:val="none" w:sz="0" w:space="0" w:color="auto"/>
          </w:divBdr>
          <w:divsChild>
            <w:div w:id="1528715765">
              <w:marLeft w:val="0"/>
              <w:marRight w:val="0"/>
              <w:marTop w:val="0"/>
              <w:marBottom w:val="0"/>
              <w:divBdr>
                <w:top w:val="none" w:sz="0" w:space="0" w:color="auto"/>
                <w:left w:val="none" w:sz="0" w:space="0" w:color="auto"/>
                <w:bottom w:val="none" w:sz="0" w:space="0" w:color="auto"/>
                <w:right w:val="none" w:sz="0" w:space="0" w:color="auto"/>
              </w:divBdr>
              <w:divsChild>
                <w:div w:id="7063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7225">
      <w:bodyDiv w:val="1"/>
      <w:marLeft w:val="0"/>
      <w:marRight w:val="0"/>
      <w:marTop w:val="0"/>
      <w:marBottom w:val="0"/>
      <w:divBdr>
        <w:top w:val="none" w:sz="0" w:space="0" w:color="auto"/>
        <w:left w:val="none" w:sz="0" w:space="0" w:color="auto"/>
        <w:bottom w:val="none" w:sz="0" w:space="0" w:color="auto"/>
        <w:right w:val="none" w:sz="0" w:space="0" w:color="auto"/>
      </w:divBdr>
    </w:div>
    <w:div w:id="626201887">
      <w:bodyDiv w:val="1"/>
      <w:marLeft w:val="0"/>
      <w:marRight w:val="0"/>
      <w:marTop w:val="0"/>
      <w:marBottom w:val="0"/>
      <w:divBdr>
        <w:top w:val="none" w:sz="0" w:space="0" w:color="auto"/>
        <w:left w:val="none" w:sz="0" w:space="0" w:color="auto"/>
        <w:bottom w:val="none" w:sz="0" w:space="0" w:color="auto"/>
        <w:right w:val="none" w:sz="0" w:space="0" w:color="auto"/>
      </w:divBdr>
      <w:divsChild>
        <w:div w:id="1460800744">
          <w:marLeft w:val="0"/>
          <w:marRight w:val="0"/>
          <w:marTop w:val="0"/>
          <w:marBottom w:val="0"/>
          <w:divBdr>
            <w:top w:val="none" w:sz="0" w:space="0" w:color="auto"/>
            <w:left w:val="none" w:sz="0" w:space="0" w:color="auto"/>
            <w:bottom w:val="none" w:sz="0" w:space="0" w:color="auto"/>
            <w:right w:val="none" w:sz="0" w:space="0" w:color="auto"/>
          </w:divBdr>
        </w:div>
        <w:div w:id="2103063761">
          <w:marLeft w:val="0"/>
          <w:marRight w:val="0"/>
          <w:marTop w:val="0"/>
          <w:marBottom w:val="0"/>
          <w:divBdr>
            <w:top w:val="none" w:sz="0" w:space="0" w:color="auto"/>
            <w:left w:val="none" w:sz="0" w:space="0" w:color="auto"/>
            <w:bottom w:val="none" w:sz="0" w:space="0" w:color="auto"/>
            <w:right w:val="none" w:sz="0" w:space="0" w:color="auto"/>
          </w:divBdr>
        </w:div>
      </w:divsChild>
    </w:div>
    <w:div w:id="659116701">
      <w:bodyDiv w:val="1"/>
      <w:marLeft w:val="0"/>
      <w:marRight w:val="0"/>
      <w:marTop w:val="0"/>
      <w:marBottom w:val="0"/>
      <w:divBdr>
        <w:top w:val="none" w:sz="0" w:space="0" w:color="auto"/>
        <w:left w:val="none" w:sz="0" w:space="0" w:color="auto"/>
        <w:bottom w:val="none" w:sz="0" w:space="0" w:color="auto"/>
        <w:right w:val="none" w:sz="0" w:space="0" w:color="auto"/>
      </w:divBdr>
    </w:div>
    <w:div w:id="710501814">
      <w:bodyDiv w:val="1"/>
      <w:marLeft w:val="0"/>
      <w:marRight w:val="0"/>
      <w:marTop w:val="0"/>
      <w:marBottom w:val="0"/>
      <w:divBdr>
        <w:top w:val="none" w:sz="0" w:space="0" w:color="auto"/>
        <w:left w:val="none" w:sz="0" w:space="0" w:color="auto"/>
        <w:bottom w:val="none" w:sz="0" w:space="0" w:color="auto"/>
        <w:right w:val="none" w:sz="0" w:space="0" w:color="auto"/>
      </w:divBdr>
    </w:div>
    <w:div w:id="725181310">
      <w:bodyDiv w:val="1"/>
      <w:marLeft w:val="0"/>
      <w:marRight w:val="0"/>
      <w:marTop w:val="0"/>
      <w:marBottom w:val="0"/>
      <w:divBdr>
        <w:top w:val="none" w:sz="0" w:space="0" w:color="auto"/>
        <w:left w:val="none" w:sz="0" w:space="0" w:color="auto"/>
        <w:bottom w:val="none" w:sz="0" w:space="0" w:color="auto"/>
        <w:right w:val="none" w:sz="0" w:space="0" w:color="auto"/>
      </w:divBdr>
    </w:div>
    <w:div w:id="741147452">
      <w:bodyDiv w:val="1"/>
      <w:marLeft w:val="0"/>
      <w:marRight w:val="0"/>
      <w:marTop w:val="0"/>
      <w:marBottom w:val="0"/>
      <w:divBdr>
        <w:top w:val="none" w:sz="0" w:space="0" w:color="auto"/>
        <w:left w:val="none" w:sz="0" w:space="0" w:color="auto"/>
        <w:bottom w:val="none" w:sz="0" w:space="0" w:color="auto"/>
        <w:right w:val="none" w:sz="0" w:space="0" w:color="auto"/>
      </w:divBdr>
    </w:div>
    <w:div w:id="828905923">
      <w:bodyDiv w:val="1"/>
      <w:marLeft w:val="0"/>
      <w:marRight w:val="0"/>
      <w:marTop w:val="0"/>
      <w:marBottom w:val="0"/>
      <w:divBdr>
        <w:top w:val="none" w:sz="0" w:space="0" w:color="auto"/>
        <w:left w:val="none" w:sz="0" w:space="0" w:color="auto"/>
        <w:bottom w:val="none" w:sz="0" w:space="0" w:color="auto"/>
        <w:right w:val="none" w:sz="0" w:space="0" w:color="auto"/>
      </w:divBdr>
    </w:div>
    <w:div w:id="843738369">
      <w:bodyDiv w:val="1"/>
      <w:marLeft w:val="0"/>
      <w:marRight w:val="0"/>
      <w:marTop w:val="0"/>
      <w:marBottom w:val="0"/>
      <w:divBdr>
        <w:top w:val="none" w:sz="0" w:space="0" w:color="auto"/>
        <w:left w:val="none" w:sz="0" w:space="0" w:color="auto"/>
        <w:bottom w:val="none" w:sz="0" w:space="0" w:color="auto"/>
        <w:right w:val="none" w:sz="0" w:space="0" w:color="auto"/>
      </w:divBdr>
    </w:div>
    <w:div w:id="885802326">
      <w:bodyDiv w:val="1"/>
      <w:marLeft w:val="0"/>
      <w:marRight w:val="0"/>
      <w:marTop w:val="0"/>
      <w:marBottom w:val="0"/>
      <w:divBdr>
        <w:top w:val="none" w:sz="0" w:space="0" w:color="auto"/>
        <w:left w:val="none" w:sz="0" w:space="0" w:color="auto"/>
        <w:bottom w:val="none" w:sz="0" w:space="0" w:color="auto"/>
        <w:right w:val="none" w:sz="0" w:space="0" w:color="auto"/>
      </w:divBdr>
    </w:div>
    <w:div w:id="893737010">
      <w:bodyDiv w:val="1"/>
      <w:marLeft w:val="0"/>
      <w:marRight w:val="0"/>
      <w:marTop w:val="0"/>
      <w:marBottom w:val="0"/>
      <w:divBdr>
        <w:top w:val="none" w:sz="0" w:space="0" w:color="auto"/>
        <w:left w:val="none" w:sz="0" w:space="0" w:color="auto"/>
        <w:bottom w:val="none" w:sz="0" w:space="0" w:color="auto"/>
        <w:right w:val="none" w:sz="0" w:space="0" w:color="auto"/>
      </w:divBdr>
    </w:div>
    <w:div w:id="963775144">
      <w:bodyDiv w:val="1"/>
      <w:marLeft w:val="0"/>
      <w:marRight w:val="0"/>
      <w:marTop w:val="0"/>
      <w:marBottom w:val="0"/>
      <w:divBdr>
        <w:top w:val="none" w:sz="0" w:space="0" w:color="auto"/>
        <w:left w:val="none" w:sz="0" w:space="0" w:color="auto"/>
        <w:bottom w:val="none" w:sz="0" w:space="0" w:color="auto"/>
        <w:right w:val="none" w:sz="0" w:space="0" w:color="auto"/>
      </w:divBdr>
    </w:div>
    <w:div w:id="1091052607">
      <w:bodyDiv w:val="1"/>
      <w:marLeft w:val="0"/>
      <w:marRight w:val="0"/>
      <w:marTop w:val="0"/>
      <w:marBottom w:val="0"/>
      <w:divBdr>
        <w:top w:val="none" w:sz="0" w:space="0" w:color="auto"/>
        <w:left w:val="none" w:sz="0" w:space="0" w:color="auto"/>
        <w:bottom w:val="none" w:sz="0" w:space="0" w:color="auto"/>
        <w:right w:val="none" w:sz="0" w:space="0" w:color="auto"/>
      </w:divBdr>
    </w:div>
    <w:div w:id="1153571879">
      <w:bodyDiv w:val="1"/>
      <w:marLeft w:val="0"/>
      <w:marRight w:val="0"/>
      <w:marTop w:val="0"/>
      <w:marBottom w:val="0"/>
      <w:divBdr>
        <w:top w:val="none" w:sz="0" w:space="0" w:color="auto"/>
        <w:left w:val="none" w:sz="0" w:space="0" w:color="auto"/>
        <w:bottom w:val="none" w:sz="0" w:space="0" w:color="auto"/>
        <w:right w:val="none" w:sz="0" w:space="0" w:color="auto"/>
      </w:divBdr>
    </w:div>
    <w:div w:id="1181044924">
      <w:bodyDiv w:val="1"/>
      <w:marLeft w:val="0"/>
      <w:marRight w:val="0"/>
      <w:marTop w:val="0"/>
      <w:marBottom w:val="0"/>
      <w:divBdr>
        <w:top w:val="none" w:sz="0" w:space="0" w:color="auto"/>
        <w:left w:val="none" w:sz="0" w:space="0" w:color="auto"/>
        <w:bottom w:val="none" w:sz="0" w:space="0" w:color="auto"/>
        <w:right w:val="none" w:sz="0" w:space="0" w:color="auto"/>
      </w:divBdr>
      <w:divsChild>
        <w:div w:id="1364673265">
          <w:marLeft w:val="0"/>
          <w:marRight w:val="0"/>
          <w:marTop w:val="0"/>
          <w:marBottom w:val="0"/>
          <w:divBdr>
            <w:top w:val="none" w:sz="0" w:space="0" w:color="auto"/>
            <w:left w:val="none" w:sz="0" w:space="0" w:color="auto"/>
            <w:bottom w:val="none" w:sz="0" w:space="0" w:color="auto"/>
            <w:right w:val="none" w:sz="0" w:space="0" w:color="auto"/>
          </w:divBdr>
        </w:div>
      </w:divsChild>
    </w:div>
    <w:div w:id="1217546492">
      <w:bodyDiv w:val="1"/>
      <w:marLeft w:val="0"/>
      <w:marRight w:val="0"/>
      <w:marTop w:val="0"/>
      <w:marBottom w:val="0"/>
      <w:divBdr>
        <w:top w:val="none" w:sz="0" w:space="0" w:color="auto"/>
        <w:left w:val="none" w:sz="0" w:space="0" w:color="auto"/>
        <w:bottom w:val="none" w:sz="0" w:space="0" w:color="auto"/>
        <w:right w:val="none" w:sz="0" w:space="0" w:color="auto"/>
      </w:divBdr>
    </w:div>
    <w:div w:id="1264798487">
      <w:bodyDiv w:val="1"/>
      <w:marLeft w:val="0"/>
      <w:marRight w:val="0"/>
      <w:marTop w:val="0"/>
      <w:marBottom w:val="0"/>
      <w:divBdr>
        <w:top w:val="none" w:sz="0" w:space="0" w:color="auto"/>
        <w:left w:val="none" w:sz="0" w:space="0" w:color="auto"/>
        <w:bottom w:val="none" w:sz="0" w:space="0" w:color="auto"/>
        <w:right w:val="none" w:sz="0" w:space="0" w:color="auto"/>
      </w:divBdr>
    </w:div>
    <w:div w:id="1290745966">
      <w:bodyDiv w:val="1"/>
      <w:marLeft w:val="0"/>
      <w:marRight w:val="0"/>
      <w:marTop w:val="0"/>
      <w:marBottom w:val="0"/>
      <w:divBdr>
        <w:top w:val="none" w:sz="0" w:space="0" w:color="auto"/>
        <w:left w:val="none" w:sz="0" w:space="0" w:color="auto"/>
        <w:bottom w:val="none" w:sz="0" w:space="0" w:color="auto"/>
        <w:right w:val="none" w:sz="0" w:space="0" w:color="auto"/>
      </w:divBdr>
    </w:div>
    <w:div w:id="1305698395">
      <w:bodyDiv w:val="1"/>
      <w:marLeft w:val="0"/>
      <w:marRight w:val="0"/>
      <w:marTop w:val="0"/>
      <w:marBottom w:val="0"/>
      <w:divBdr>
        <w:top w:val="none" w:sz="0" w:space="0" w:color="auto"/>
        <w:left w:val="none" w:sz="0" w:space="0" w:color="auto"/>
        <w:bottom w:val="none" w:sz="0" w:space="0" w:color="auto"/>
        <w:right w:val="none" w:sz="0" w:space="0" w:color="auto"/>
      </w:divBdr>
    </w:div>
    <w:div w:id="1368678955">
      <w:bodyDiv w:val="1"/>
      <w:marLeft w:val="0"/>
      <w:marRight w:val="0"/>
      <w:marTop w:val="0"/>
      <w:marBottom w:val="0"/>
      <w:divBdr>
        <w:top w:val="none" w:sz="0" w:space="0" w:color="auto"/>
        <w:left w:val="none" w:sz="0" w:space="0" w:color="auto"/>
        <w:bottom w:val="none" w:sz="0" w:space="0" w:color="auto"/>
        <w:right w:val="none" w:sz="0" w:space="0" w:color="auto"/>
      </w:divBdr>
    </w:div>
    <w:div w:id="1397121752">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35201382">
      <w:bodyDiv w:val="1"/>
      <w:marLeft w:val="60"/>
      <w:marRight w:val="60"/>
      <w:marTop w:val="60"/>
      <w:marBottom w:val="15"/>
      <w:divBdr>
        <w:top w:val="none" w:sz="0" w:space="0" w:color="auto"/>
        <w:left w:val="none" w:sz="0" w:space="0" w:color="auto"/>
        <w:bottom w:val="none" w:sz="0" w:space="0" w:color="auto"/>
        <w:right w:val="none" w:sz="0" w:space="0" w:color="auto"/>
      </w:divBdr>
      <w:divsChild>
        <w:div w:id="401876086">
          <w:marLeft w:val="0"/>
          <w:marRight w:val="0"/>
          <w:marTop w:val="0"/>
          <w:marBottom w:val="0"/>
          <w:divBdr>
            <w:top w:val="none" w:sz="0" w:space="0" w:color="auto"/>
            <w:left w:val="none" w:sz="0" w:space="0" w:color="auto"/>
            <w:bottom w:val="none" w:sz="0" w:space="0" w:color="auto"/>
            <w:right w:val="none" w:sz="0" w:space="0" w:color="auto"/>
          </w:divBdr>
        </w:div>
        <w:div w:id="820846628">
          <w:marLeft w:val="0"/>
          <w:marRight w:val="0"/>
          <w:marTop w:val="0"/>
          <w:marBottom w:val="0"/>
          <w:divBdr>
            <w:top w:val="none" w:sz="0" w:space="0" w:color="auto"/>
            <w:left w:val="none" w:sz="0" w:space="0" w:color="auto"/>
            <w:bottom w:val="none" w:sz="0" w:space="0" w:color="auto"/>
            <w:right w:val="none" w:sz="0" w:space="0" w:color="auto"/>
          </w:divBdr>
        </w:div>
      </w:divsChild>
    </w:div>
    <w:div w:id="1454519940">
      <w:bodyDiv w:val="1"/>
      <w:marLeft w:val="0"/>
      <w:marRight w:val="0"/>
      <w:marTop w:val="0"/>
      <w:marBottom w:val="0"/>
      <w:divBdr>
        <w:top w:val="none" w:sz="0" w:space="0" w:color="auto"/>
        <w:left w:val="none" w:sz="0" w:space="0" w:color="auto"/>
        <w:bottom w:val="none" w:sz="0" w:space="0" w:color="auto"/>
        <w:right w:val="none" w:sz="0" w:space="0" w:color="auto"/>
      </w:divBdr>
    </w:div>
    <w:div w:id="1488398041">
      <w:bodyDiv w:val="1"/>
      <w:marLeft w:val="0"/>
      <w:marRight w:val="0"/>
      <w:marTop w:val="0"/>
      <w:marBottom w:val="0"/>
      <w:divBdr>
        <w:top w:val="none" w:sz="0" w:space="0" w:color="auto"/>
        <w:left w:val="none" w:sz="0" w:space="0" w:color="auto"/>
        <w:bottom w:val="none" w:sz="0" w:space="0" w:color="auto"/>
        <w:right w:val="none" w:sz="0" w:space="0" w:color="auto"/>
      </w:divBdr>
    </w:div>
    <w:div w:id="1515725899">
      <w:bodyDiv w:val="1"/>
      <w:marLeft w:val="0"/>
      <w:marRight w:val="0"/>
      <w:marTop w:val="0"/>
      <w:marBottom w:val="0"/>
      <w:divBdr>
        <w:top w:val="none" w:sz="0" w:space="0" w:color="auto"/>
        <w:left w:val="none" w:sz="0" w:space="0" w:color="auto"/>
        <w:bottom w:val="none" w:sz="0" w:space="0" w:color="auto"/>
        <w:right w:val="none" w:sz="0" w:space="0" w:color="auto"/>
      </w:divBdr>
    </w:div>
    <w:div w:id="1597864896">
      <w:bodyDiv w:val="1"/>
      <w:marLeft w:val="0"/>
      <w:marRight w:val="0"/>
      <w:marTop w:val="0"/>
      <w:marBottom w:val="0"/>
      <w:divBdr>
        <w:top w:val="none" w:sz="0" w:space="0" w:color="auto"/>
        <w:left w:val="none" w:sz="0" w:space="0" w:color="auto"/>
        <w:bottom w:val="none" w:sz="0" w:space="0" w:color="auto"/>
        <w:right w:val="none" w:sz="0" w:space="0" w:color="auto"/>
      </w:divBdr>
      <w:divsChild>
        <w:div w:id="1047727034">
          <w:marLeft w:val="0"/>
          <w:marRight w:val="0"/>
          <w:marTop w:val="0"/>
          <w:marBottom w:val="0"/>
          <w:divBdr>
            <w:top w:val="none" w:sz="0" w:space="0" w:color="auto"/>
            <w:left w:val="none" w:sz="0" w:space="0" w:color="auto"/>
            <w:bottom w:val="none" w:sz="0" w:space="0" w:color="auto"/>
            <w:right w:val="none" w:sz="0" w:space="0" w:color="auto"/>
          </w:divBdr>
        </w:div>
      </w:divsChild>
    </w:div>
    <w:div w:id="1773621535">
      <w:bodyDiv w:val="1"/>
      <w:marLeft w:val="0"/>
      <w:marRight w:val="0"/>
      <w:marTop w:val="0"/>
      <w:marBottom w:val="0"/>
      <w:divBdr>
        <w:top w:val="none" w:sz="0" w:space="0" w:color="auto"/>
        <w:left w:val="none" w:sz="0" w:space="0" w:color="auto"/>
        <w:bottom w:val="none" w:sz="0" w:space="0" w:color="auto"/>
        <w:right w:val="none" w:sz="0" w:space="0" w:color="auto"/>
      </w:divBdr>
    </w:div>
    <w:div w:id="1832669995">
      <w:bodyDiv w:val="1"/>
      <w:marLeft w:val="0"/>
      <w:marRight w:val="0"/>
      <w:marTop w:val="0"/>
      <w:marBottom w:val="0"/>
      <w:divBdr>
        <w:top w:val="none" w:sz="0" w:space="0" w:color="auto"/>
        <w:left w:val="none" w:sz="0" w:space="0" w:color="auto"/>
        <w:bottom w:val="none" w:sz="0" w:space="0" w:color="auto"/>
        <w:right w:val="none" w:sz="0" w:space="0" w:color="auto"/>
      </w:divBdr>
    </w:div>
    <w:div w:id="1879583103">
      <w:bodyDiv w:val="1"/>
      <w:marLeft w:val="60"/>
      <w:marRight w:val="60"/>
      <w:marTop w:val="60"/>
      <w:marBottom w:val="15"/>
      <w:divBdr>
        <w:top w:val="none" w:sz="0" w:space="0" w:color="auto"/>
        <w:left w:val="none" w:sz="0" w:space="0" w:color="auto"/>
        <w:bottom w:val="none" w:sz="0" w:space="0" w:color="auto"/>
        <w:right w:val="none" w:sz="0" w:space="0" w:color="auto"/>
      </w:divBdr>
      <w:divsChild>
        <w:div w:id="1550531421">
          <w:marLeft w:val="0"/>
          <w:marRight w:val="0"/>
          <w:marTop w:val="0"/>
          <w:marBottom w:val="0"/>
          <w:divBdr>
            <w:top w:val="none" w:sz="0" w:space="0" w:color="auto"/>
            <w:left w:val="none" w:sz="0" w:space="0" w:color="auto"/>
            <w:bottom w:val="none" w:sz="0" w:space="0" w:color="auto"/>
            <w:right w:val="none" w:sz="0" w:space="0" w:color="auto"/>
          </w:divBdr>
          <w:divsChild>
            <w:div w:id="19879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7866">
      <w:bodyDiv w:val="1"/>
      <w:marLeft w:val="0"/>
      <w:marRight w:val="0"/>
      <w:marTop w:val="0"/>
      <w:marBottom w:val="0"/>
      <w:divBdr>
        <w:top w:val="none" w:sz="0" w:space="0" w:color="auto"/>
        <w:left w:val="none" w:sz="0" w:space="0" w:color="auto"/>
        <w:bottom w:val="none" w:sz="0" w:space="0" w:color="auto"/>
        <w:right w:val="none" w:sz="0" w:space="0" w:color="auto"/>
      </w:divBdr>
    </w:div>
    <w:div w:id="1998729778">
      <w:bodyDiv w:val="1"/>
      <w:marLeft w:val="0"/>
      <w:marRight w:val="0"/>
      <w:marTop w:val="0"/>
      <w:marBottom w:val="0"/>
      <w:divBdr>
        <w:top w:val="none" w:sz="0" w:space="0" w:color="auto"/>
        <w:left w:val="none" w:sz="0" w:space="0" w:color="auto"/>
        <w:bottom w:val="none" w:sz="0" w:space="0" w:color="auto"/>
        <w:right w:val="none" w:sz="0" w:space="0" w:color="auto"/>
      </w:divBdr>
    </w:div>
    <w:div w:id="2050910716">
      <w:bodyDiv w:val="1"/>
      <w:marLeft w:val="0"/>
      <w:marRight w:val="0"/>
      <w:marTop w:val="0"/>
      <w:marBottom w:val="0"/>
      <w:divBdr>
        <w:top w:val="none" w:sz="0" w:space="0" w:color="auto"/>
        <w:left w:val="none" w:sz="0" w:space="0" w:color="auto"/>
        <w:bottom w:val="none" w:sz="0" w:space="0" w:color="auto"/>
        <w:right w:val="none" w:sz="0" w:space="0" w:color="auto"/>
      </w:divBdr>
      <w:divsChild>
        <w:div w:id="27797386">
          <w:marLeft w:val="0"/>
          <w:marRight w:val="0"/>
          <w:marTop w:val="0"/>
          <w:marBottom w:val="0"/>
          <w:divBdr>
            <w:top w:val="none" w:sz="0" w:space="0" w:color="auto"/>
            <w:left w:val="none" w:sz="0" w:space="0" w:color="auto"/>
            <w:bottom w:val="none" w:sz="0" w:space="0" w:color="auto"/>
            <w:right w:val="none" w:sz="0" w:space="0" w:color="auto"/>
          </w:divBdr>
          <w:divsChild>
            <w:div w:id="20297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87473">
      <w:bodyDiv w:val="1"/>
      <w:marLeft w:val="0"/>
      <w:marRight w:val="0"/>
      <w:marTop w:val="0"/>
      <w:marBottom w:val="0"/>
      <w:divBdr>
        <w:top w:val="none" w:sz="0" w:space="0" w:color="auto"/>
        <w:left w:val="none" w:sz="0" w:space="0" w:color="auto"/>
        <w:bottom w:val="none" w:sz="0" w:space="0" w:color="auto"/>
        <w:right w:val="none" w:sz="0" w:space="0" w:color="auto"/>
      </w:divBdr>
    </w:div>
    <w:div w:id="2084793362">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C4CB-2780-430D-94A7-C10470F7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8938</Words>
  <Characters>50953</Characters>
  <Application>Microsoft Office Word</Application>
  <DocSecurity>0</DocSecurity>
  <Lines>424</Lines>
  <Paragraphs>119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становищата от членовете на УС по писмената процедура за съгласуване и одобрение на втората обява за набиране на заявления за одобрение на МИГ по мярка 41 „Прилагане на стратегии за местно развитие” по ПРСР (21 – 24</vt:lpstr>
      <vt:lpstr>Справка за отразяване на становищата от членовете на УС по писмената процедура за съгласуване и одобрение на втората обява за набиране на заявления за одобрение на МИГ по мярка 41 „Прилагане на стратегии за местно развитие” по ПРСР (21 – 24</vt:lpstr>
    </vt:vector>
  </TitlesOfParts>
  <Company>mzh</Company>
  <LinksUpToDate>false</LinksUpToDate>
  <CharactersWithSpaces>59772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становищата от членовете на УС по писмената процедура за съгласуване и одобрение на втората обява за набиране на заявления за одобрение на МИГ по мярка 41 „Прилагане на стратегии за местно развитие” по ПРСР (21 – 24</dc:title>
  <dc:creator>VBoyadzhieva</dc:creator>
  <cp:lastModifiedBy>PC</cp:lastModifiedBy>
  <cp:revision>2</cp:revision>
  <cp:lastPrinted>2016-06-13T07:37:00Z</cp:lastPrinted>
  <dcterms:created xsi:type="dcterms:W3CDTF">2020-12-03T14:53:00Z</dcterms:created>
  <dcterms:modified xsi:type="dcterms:W3CDTF">2020-12-03T14:53:00Z</dcterms:modified>
</cp:coreProperties>
</file>